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02C" w:rsidRDefault="008F302C" w:rsidP="00E45B84">
      <w:pPr>
        <w:autoSpaceDE w:val="0"/>
        <w:autoSpaceDN w:val="0"/>
        <w:adjustRightInd w:val="0"/>
        <w:spacing w:after="0" w:line="240" w:lineRule="auto"/>
        <w:rPr>
          <w:b/>
          <w:bCs/>
        </w:rPr>
      </w:pPr>
    </w:p>
    <w:p w:rsidR="008F302C" w:rsidRDefault="008F302C" w:rsidP="00E45B84">
      <w:pPr>
        <w:autoSpaceDE w:val="0"/>
        <w:autoSpaceDN w:val="0"/>
        <w:adjustRightInd w:val="0"/>
        <w:spacing w:after="0" w:line="240" w:lineRule="auto"/>
        <w:rPr>
          <w:b/>
          <w:bCs/>
        </w:rPr>
      </w:pPr>
    </w:p>
    <w:p w:rsidR="008F302C" w:rsidRDefault="008F302C" w:rsidP="00E45B84">
      <w:pPr>
        <w:autoSpaceDE w:val="0"/>
        <w:autoSpaceDN w:val="0"/>
        <w:adjustRightInd w:val="0"/>
        <w:spacing w:after="0" w:line="240" w:lineRule="auto"/>
        <w:rPr>
          <w:b/>
          <w:bCs/>
        </w:rPr>
      </w:pPr>
    </w:p>
    <w:p w:rsidR="008F302C" w:rsidRDefault="008F302C" w:rsidP="00E45B84">
      <w:pPr>
        <w:autoSpaceDE w:val="0"/>
        <w:autoSpaceDN w:val="0"/>
        <w:adjustRightInd w:val="0"/>
        <w:spacing w:after="0" w:line="240" w:lineRule="auto"/>
        <w:rPr>
          <w:b/>
          <w:bCs/>
        </w:rPr>
      </w:pPr>
    </w:p>
    <w:p w:rsidR="008F302C" w:rsidRDefault="008F302C" w:rsidP="00E45B84">
      <w:pPr>
        <w:autoSpaceDE w:val="0"/>
        <w:autoSpaceDN w:val="0"/>
        <w:adjustRightInd w:val="0"/>
        <w:spacing w:after="0" w:line="240" w:lineRule="auto"/>
        <w:rPr>
          <w:b/>
          <w:bCs/>
        </w:rPr>
      </w:pPr>
    </w:p>
    <w:p w:rsidR="008F302C" w:rsidRDefault="008F302C" w:rsidP="00E45B84">
      <w:pPr>
        <w:autoSpaceDE w:val="0"/>
        <w:autoSpaceDN w:val="0"/>
        <w:adjustRightInd w:val="0"/>
        <w:spacing w:after="0" w:line="240" w:lineRule="auto"/>
        <w:rPr>
          <w:b/>
          <w:bCs/>
        </w:rPr>
      </w:pPr>
    </w:p>
    <w:p w:rsidR="008F302C" w:rsidRDefault="008F302C" w:rsidP="00E45B84">
      <w:pPr>
        <w:autoSpaceDE w:val="0"/>
        <w:autoSpaceDN w:val="0"/>
        <w:adjustRightInd w:val="0"/>
        <w:spacing w:after="0" w:line="240" w:lineRule="auto"/>
        <w:rPr>
          <w:b/>
          <w:bCs/>
        </w:rPr>
      </w:pPr>
    </w:p>
    <w:p w:rsidR="008F302C" w:rsidRPr="008F302C" w:rsidRDefault="008F302C" w:rsidP="008F302C">
      <w:pPr>
        <w:autoSpaceDE w:val="0"/>
        <w:autoSpaceDN w:val="0"/>
        <w:adjustRightInd w:val="0"/>
        <w:spacing w:after="0" w:line="240" w:lineRule="auto"/>
        <w:jc w:val="center"/>
        <w:rPr>
          <w:rFonts w:ascii="Arabic Typesetting" w:hAnsi="Arabic Typesetting" w:cs="Arabic Typesetting"/>
          <w:b/>
          <w:bCs/>
          <w:sz w:val="40"/>
          <w:szCs w:val="40"/>
        </w:rPr>
      </w:pPr>
      <w:r w:rsidRPr="008F302C">
        <w:rPr>
          <w:rFonts w:ascii="Arabic Typesetting" w:hAnsi="Arabic Typesetting" w:cs="Arabic Typesetting"/>
          <w:b/>
          <w:bCs/>
          <w:sz w:val="40"/>
          <w:szCs w:val="40"/>
        </w:rPr>
        <w:t>Nucleo di Valutazione</w:t>
      </w:r>
    </w:p>
    <w:p w:rsidR="008F302C" w:rsidRPr="008F302C" w:rsidRDefault="008F302C" w:rsidP="008F302C">
      <w:pPr>
        <w:autoSpaceDE w:val="0"/>
        <w:autoSpaceDN w:val="0"/>
        <w:adjustRightInd w:val="0"/>
        <w:spacing w:after="0" w:line="240" w:lineRule="auto"/>
        <w:jc w:val="center"/>
        <w:rPr>
          <w:rFonts w:ascii="Arabic Typesetting" w:hAnsi="Arabic Typesetting" w:cs="Arabic Typesetting"/>
          <w:b/>
          <w:bCs/>
          <w:sz w:val="40"/>
          <w:szCs w:val="40"/>
          <w:u w:val="single"/>
        </w:rPr>
      </w:pPr>
      <w:r w:rsidRPr="008F302C">
        <w:rPr>
          <w:rFonts w:ascii="Arabic Typesetting" w:hAnsi="Arabic Typesetting" w:cs="Arabic Typesetting"/>
          <w:b/>
          <w:bCs/>
          <w:sz w:val="40"/>
          <w:szCs w:val="40"/>
          <w:u w:val="single"/>
        </w:rPr>
        <w:t>Città metropolitana di Venezia</w:t>
      </w:r>
    </w:p>
    <w:p w:rsidR="008F302C" w:rsidRDefault="008F302C" w:rsidP="008F302C">
      <w:pPr>
        <w:autoSpaceDE w:val="0"/>
        <w:autoSpaceDN w:val="0"/>
        <w:adjustRightInd w:val="0"/>
        <w:spacing w:after="0" w:line="240" w:lineRule="auto"/>
        <w:jc w:val="center"/>
        <w:rPr>
          <w:b/>
          <w:bCs/>
          <w:sz w:val="40"/>
          <w:szCs w:val="40"/>
          <w:u w:val="single"/>
        </w:rPr>
      </w:pPr>
    </w:p>
    <w:p w:rsidR="008F302C" w:rsidRDefault="008F302C" w:rsidP="008F302C">
      <w:pPr>
        <w:autoSpaceDE w:val="0"/>
        <w:autoSpaceDN w:val="0"/>
        <w:adjustRightInd w:val="0"/>
        <w:spacing w:after="0" w:line="240" w:lineRule="auto"/>
        <w:jc w:val="center"/>
        <w:rPr>
          <w:b/>
          <w:bCs/>
          <w:sz w:val="40"/>
          <w:szCs w:val="40"/>
          <w:u w:val="single"/>
        </w:rPr>
      </w:pPr>
    </w:p>
    <w:p w:rsidR="008F302C" w:rsidRDefault="008F302C" w:rsidP="008F302C">
      <w:pPr>
        <w:autoSpaceDE w:val="0"/>
        <w:autoSpaceDN w:val="0"/>
        <w:adjustRightInd w:val="0"/>
        <w:spacing w:after="0" w:line="240" w:lineRule="auto"/>
        <w:jc w:val="center"/>
        <w:rPr>
          <w:b/>
          <w:bCs/>
          <w:sz w:val="40"/>
          <w:szCs w:val="40"/>
          <w:u w:val="single"/>
        </w:rPr>
      </w:pPr>
    </w:p>
    <w:p w:rsidR="008F302C" w:rsidRDefault="008F302C" w:rsidP="008F302C">
      <w:pPr>
        <w:autoSpaceDE w:val="0"/>
        <w:autoSpaceDN w:val="0"/>
        <w:adjustRightInd w:val="0"/>
        <w:spacing w:after="0" w:line="240" w:lineRule="auto"/>
        <w:jc w:val="center"/>
        <w:rPr>
          <w:b/>
          <w:bCs/>
          <w:sz w:val="40"/>
          <w:szCs w:val="40"/>
          <w:u w:val="single"/>
        </w:rPr>
      </w:pPr>
    </w:p>
    <w:p w:rsidR="00013D65" w:rsidRPr="00472B98" w:rsidRDefault="00013D65" w:rsidP="00013D65">
      <w:pPr>
        <w:pStyle w:val="LO-normal1"/>
        <w:widowControl w:val="0"/>
        <w:jc w:val="center"/>
        <w:rPr>
          <w:rFonts w:ascii="Arial" w:eastAsia="Arial" w:hAnsi="Arial" w:cs="Arial"/>
          <w:color w:val="000000"/>
          <w:sz w:val="36"/>
          <w:szCs w:val="36"/>
        </w:rPr>
      </w:pPr>
      <w:r w:rsidRPr="00472B98">
        <w:rPr>
          <w:rFonts w:ascii="Arial" w:eastAsia="Arial" w:hAnsi="Arial" w:cs="Arial"/>
          <w:b/>
          <w:color w:val="000000"/>
          <w:sz w:val="36"/>
          <w:szCs w:val="36"/>
        </w:rPr>
        <w:t>RELAZIONE SUL FUNZIONAMENTO</w:t>
      </w:r>
      <w:r w:rsidRPr="00472B98">
        <w:rPr>
          <w:rFonts w:ascii="Calibri" w:eastAsia="Calibri" w:hAnsi="Calibri" w:cs="Calibri"/>
          <w:color w:val="000000"/>
        </w:rPr>
        <w:t xml:space="preserve"> </w:t>
      </w:r>
      <w:r w:rsidRPr="00472B98">
        <w:rPr>
          <w:rFonts w:ascii="Arial" w:eastAsia="Arial" w:hAnsi="Arial" w:cs="Arial"/>
          <w:b/>
          <w:color w:val="000000"/>
          <w:sz w:val="36"/>
          <w:szCs w:val="36"/>
        </w:rPr>
        <w:t xml:space="preserve">COMPLESSIVO DEL SISTEMA DI VALUTAZIONE, TRASPARENZA E </w:t>
      </w:r>
    </w:p>
    <w:p w:rsidR="00013D65" w:rsidRPr="00472B98" w:rsidRDefault="00013D65" w:rsidP="00013D65">
      <w:pPr>
        <w:pStyle w:val="LO-normal1"/>
        <w:widowControl w:val="0"/>
        <w:jc w:val="center"/>
        <w:rPr>
          <w:rFonts w:ascii="Arial" w:eastAsia="Arial" w:hAnsi="Arial" w:cs="Arial"/>
          <w:color w:val="000000"/>
          <w:sz w:val="36"/>
          <w:szCs w:val="36"/>
        </w:rPr>
      </w:pPr>
      <w:r w:rsidRPr="00472B98">
        <w:rPr>
          <w:rFonts w:ascii="Arial" w:eastAsia="Arial" w:hAnsi="Arial" w:cs="Arial"/>
          <w:b/>
          <w:color w:val="000000"/>
          <w:sz w:val="36"/>
          <w:szCs w:val="36"/>
        </w:rPr>
        <w:t xml:space="preserve">INTEGRITA' DEI CONTROLLI INTERNI </w:t>
      </w:r>
    </w:p>
    <w:p w:rsidR="008F302C" w:rsidRDefault="008F302C" w:rsidP="008F302C">
      <w:pPr>
        <w:autoSpaceDE w:val="0"/>
        <w:autoSpaceDN w:val="0"/>
        <w:adjustRightInd w:val="0"/>
        <w:spacing w:after="0" w:line="240" w:lineRule="auto"/>
        <w:jc w:val="center"/>
        <w:rPr>
          <w:b/>
          <w:bCs/>
          <w:sz w:val="40"/>
          <w:szCs w:val="40"/>
          <w:u w:val="single"/>
        </w:rPr>
      </w:pPr>
    </w:p>
    <w:p w:rsidR="008F302C" w:rsidRPr="008F302C" w:rsidRDefault="008F302C" w:rsidP="008F302C">
      <w:pPr>
        <w:autoSpaceDE w:val="0"/>
        <w:autoSpaceDN w:val="0"/>
        <w:adjustRightInd w:val="0"/>
        <w:spacing w:after="0" w:line="240" w:lineRule="auto"/>
        <w:jc w:val="center"/>
        <w:rPr>
          <w:rFonts w:ascii="Arabic Typesetting" w:hAnsi="Arabic Typesetting" w:cs="Arabic Typesetting"/>
          <w:b/>
          <w:bCs/>
          <w:sz w:val="40"/>
          <w:szCs w:val="40"/>
          <w:u w:val="single"/>
        </w:rPr>
      </w:pPr>
    </w:p>
    <w:p w:rsidR="008F302C" w:rsidRPr="008F302C" w:rsidRDefault="008F302C" w:rsidP="008F302C">
      <w:pPr>
        <w:autoSpaceDE w:val="0"/>
        <w:autoSpaceDN w:val="0"/>
        <w:adjustRightInd w:val="0"/>
        <w:spacing w:after="0" w:line="240" w:lineRule="auto"/>
        <w:jc w:val="center"/>
        <w:rPr>
          <w:rFonts w:ascii="Arabic Typesetting" w:hAnsi="Arabic Typesetting" w:cs="Arabic Typesetting"/>
          <w:b/>
          <w:bCs/>
          <w:sz w:val="40"/>
          <w:szCs w:val="40"/>
          <w:u w:val="single"/>
        </w:rPr>
      </w:pPr>
    </w:p>
    <w:p w:rsidR="008F302C" w:rsidRPr="008F302C" w:rsidRDefault="008F302C" w:rsidP="00E45B84">
      <w:pPr>
        <w:autoSpaceDE w:val="0"/>
        <w:autoSpaceDN w:val="0"/>
        <w:adjustRightInd w:val="0"/>
        <w:spacing w:after="0" w:line="240" w:lineRule="auto"/>
        <w:rPr>
          <w:rFonts w:ascii="Arabic Typesetting" w:hAnsi="Arabic Typesetting" w:cs="Arabic Typesetting"/>
          <w:b/>
          <w:bCs/>
        </w:rPr>
      </w:pPr>
    </w:p>
    <w:p w:rsidR="008F302C" w:rsidRPr="00BA799A" w:rsidRDefault="008F302C" w:rsidP="008F302C">
      <w:pPr>
        <w:autoSpaceDE w:val="0"/>
        <w:autoSpaceDN w:val="0"/>
        <w:adjustRightInd w:val="0"/>
        <w:spacing w:after="0" w:line="240" w:lineRule="auto"/>
        <w:jc w:val="center"/>
        <w:rPr>
          <w:rFonts w:ascii="Arabic Typesetting" w:hAnsi="Arabic Typesetting" w:cs="Arabic Typesetting"/>
          <w:b/>
          <w:bCs/>
          <w:i/>
          <w:sz w:val="28"/>
          <w:szCs w:val="28"/>
        </w:rPr>
      </w:pPr>
      <w:r w:rsidRPr="00BA799A">
        <w:rPr>
          <w:rFonts w:ascii="Arabic Typesetting" w:hAnsi="Arabic Typesetting" w:cs="Arabic Typesetting"/>
          <w:b/>
          <w:bCs/>
          <w:i/>
          <w:sz w:val="28"/>
          <w:szCs w:val="28"/>
        </w:rPr>
        <w:t xml:space="preserve">Relazione </w:t>
      </w:r>
      <w:r w:rsidR="007822ED">
        <w:rPr>
          <w:rFonts w:ascii="Arabic Typesetting" w:hAnsi="Arabic Typesetting" w:cs="Arabic Typesetting"/>
          <w:b/>
          <w:bCs/>
          <w:i/>
          <w:sz w:val="28"/>
          <w:szCs w:val="28"/>
        </w:rPr>
        <w:t xml:space="preserve">annuale </w:t>
      </w:r>
      <w:r w:rsidRPr="00BA799A">
        <w:rPr>
          <w:rFonts w:ascii="Arabic Typesetting" w:hAnsi="Arabic Typesetting" w:cs="Arabic Typesetting"/>
          <w:b/>
          <w:bCs/>
          <w:i/>
          <w:sz w:val="28"/>
          <w:szCs w:val="28"/>
        </w:rPr>
        <w:t>sullo stato di attuazione del sistema di gestione della performance</w:t>
      </w:r>
    </w:p>
    <w:p w:rsidR="008F302C" w:rsidRPr="00BA799A" w:rsidRDefault="008F302C" w:rsidP="008F302C">
      <w:pPr>
        <w:autoSpaceDE w:val="0"/>
        <w:autoSpaceDN w:val="0"/>
        <w:adjustRightInd w:val="0"/>
        <w:spacing w:after="0" w:line="240" w:lineRule="auto"/>
        <w:jc w:val="center"/>
        <w:rPr>
          <w:rFonts w:ascii="Arabic Typesetting" w:hAnsi="Arabic Typesetting" w:cs="Arabic Typesetting"/>
          <w:b/>
          <w:bCs/>
          <w:sz w:val="28"/>
          <w:szCs w:val="28"/>
        </w:rPr>
      </w:pPr>
    </w:p>
    <w:p w:rsidR="008F302C" w:rsidRPr="00646EBA" w:rsidRDefault="009D05D9" w:rsidP="008F302C">
      <w:pPr>
        <w:autoSpaceDE w:val="0"/>
        <w:autoSpaceDN w:val="0"/>
        <w:adjustRightInd w:val="0"/>
        <w:spacing w:after="0" w:line="240" w:lineRule="auto"/>
        <w:jc w:val="center"/>
        <w:rPr>
          <w:rFonts w:ascii="Arabic Typesetting" w:hAnsi="Arabic Typesetting" w:cs="Arabic Typesetting"/>
          <w:b/>
          <w:bCs/>
          <w:sz w:val="28"/>
          <w:szCs w:val="28"/>
        </w:rPr>
      </w:pPr>
      <w:r>
        <w:rPr>
          <w:rFonts w:ascii="Arabic Typesetting" w:hAnsi="Arabic Typesetting" w:cs="Arabic Typesetting"/>
          <w:b/>
          <w:bCs/>
          <w:sz w:val="28"/>
          <w:szCs w:val="28"/>
        </w:rPr>
        <w:t xml:space="preserve">Anno </w:t>
      </w:r>
      <w:r w:rsidR="007822ED">
        <w:rPr>
          <w:rFonts w:ascii="Arabic Typesetting" w:hAnsi="Arabic Typesetting" w:cs="Arabic Typesetting"/>
          <w:b/>
          <w:bCs/>
          <w:sz w:val="28"/>
          <w:szCs w:val="28"/>
        </w:rPr>
        <w:t>2022</w:t>
      </w:r>
    </w:p>
    <w:p w:rsidR="008F302C" w:rsidRPr="00BA799A" w:rsidRDefault="008F302C" w:rsidP="00E45B84">
      <w:pPr>
        <w:autoSpaceDE w:val="0"/>
        <w:autoSpaceDN w:val="0"/>
        <w:adjustRightInd w:val="0"/>
        <w:spacing w:after="0" w:line="240" w:lineRule="auto"/>
        <w:rPr>
          <w:rFonts w:ascii="Arabic Typesetting" w:hAnsi="Arabic Typesetting" w:cs="Arabic Typesetting"/>
          <w:b/>
          <w:bCs/>
          <w:sz w:val="28"/>
          <w:szCs w:val="28"/>
        </w:rPr>
      </w:pPr>
    </w:p>
    <w:p w:rsidR="008F302C" w:rsidRPr="00BA799A" w:rsidRDefault="008F302C" w:rsidP="00E45B84">
      <w:pPr>
        <w:autoSpaceDE w:val="0"/>
        <w:autoSpaceDN w:val="0"/>
        <w:adjustRightInd w:val="0"/>
        <w:spacing w:after="0" w:line="240" w:lineRule="auto"/>
        <w:rPr>
          <w:rFonts w:ascii="Arabic Typesetting" w:hAnsi="Arabic Typesetting" w:cs="Arabic Typesetting"/>
          <w:b/>
          <w:bCs/>
          <w:sz w:val="28"/>
          <w:szCs w:val="28"/>
        </w:rPr>
      </w:pPr>
    </w:p>
    <w:p w:rsidR="008F302C" w:rsidRPr="00BA799A" w:rsidRDefault="008F302C" w:rsidP="00E45B84">
      <w:pPr>
        <w:autoSpaceDE w:val="0"/>
        <w:autoSpaceDN w:val="0"/>
        <w:adjustRightInd w:val="0"/>
        <w:spacing w:after="0" w:line="240" w:lineRule="auto"/>
        <w:rPr>
          <w:rFonts w:ascii="Arabic Typesetting" w:hAnsi="Arabic Typesetting" w:cs="Arabic Typesetting"/>
          <w:b/>
          <w:bCs/>
          <w:sz w:val="28"/>
          <w:szCs w:val="28"/>
        </w:rPr>
      </w:pPr>
    </w:p>
    <w:p w:rsidR="008F302C" w:rsidRPr="00BA799A" w:rsidRDefault="008F302C" w:rsidP="00E45B84">
      <w:pPr>
        <w:autoSpaceDE w:val="0"/>
        <w:autoSpaceDN w:val="0"/>
        <w:adjustRightInd w:val="0"/>
        <w:spacing w:after="0" w:line="240" w:lineRule="auto"/>
        <w:rPr>
          <w:rFonts w:ascii="Arabic Typesetting" w:hAnsi="Arabic Typesetting" w:cs="Arabic Typesetting"/>
          <w:b/>
          <w:bCs/>
          <w:sz w:val="28"/>
          <w:szCs w:val="28"/>
        </w:rPr>
      </w:pPr>
    </w:p>
    <w:p w:rsidR="008F302C" w:rsidRPr="00BA799A" w:rsidRDefault="008F302C" w:rsidP="00E45B84">
      <w:pPr>
        <w:autoSpaceDE w:val="0"/>
        <w:autoSpaceDN w:val="0"/>
        <w:adjustRightInd w:val="0"/>
        <w:spacing w:after="0" w:line="240" w:lineRule="auto"/>
        <w:rPr>
          <w:rFonts w:ascii="Arabic Typesetting" w:hAnsi="Arabic Typesetting" w:cs="Arabic Typesetting"/>
          <w:b/>
          <w:bCs/>
          <w:sz w:val="28"/>
          <w:szCs w:val="28"/>
        </w:rPr>
      </w:pPr>
    </w:p>
    <w:p w:rsidR="008F302C" w:rsidRPr="00BA799A" w:rsidRDefault="008F302C" w:rsidP="00E45B84">
      <w:pPr>
        <w:autoSpaceDE w:val="0"/>
        <w:autoSpaceDN w:val="0"/>
        <w:adjustRightInd w:val="0"/>
        <w:spacing w:after="0" w:line="240" w:lineRule="auto"/>
        <w:rPr>
          <w:rFonts w:ascii="Arabic Typesetting" w:hAnsi="Arabic Typesetting" w:cs="Arabic Typesetting"/>
          <w:b/>
          <w:bCs/>
          <w:sz w:val="28"/>
          <w:szCs w:val="28"/>
        </w:rPr>
      </w:pPr>
    </w:p>
    <w:p w:rsidR="008F302C" w:rsidRPr="00BA799A" w:rsidRDefault="008F302C" w:rsidP="00E45B84">
      <w:pPr>
        <w:autoSpaceDE w:val="0"/>
        <w:autoSpaceDN w:val="0"/>
        <w:adjustRightInd w:val="0"/>
        <w:spacing w:after="0" w:line="240" w:lineRule="auto"/>
        <w:rPr>
          <w:rFonts w:ascii="Arabic Typesetting" w:hAnsi="Arabic Typesetting" w:cs="Arabic Typesetting"/>
          <w:b/>
          <w:bCs/>
          <w:sz w:val="28"/>
          <w:szCs w:val="28"/>
        </w:rPr>
      </w:pPr>
    </w:p>
    <w:p w:rsidR="008F302C" w:rsidRPr="00BA799A" w:rsidRDefault="008F302C" w:rsidP="00E45B84">
      <w:pPr>
        <w:autoSpaceDE w:val="0"/>
        <w:autoSpaceDN w:val="0"/>
        <w:adjustRightInd w:val="0"/>
        <w:spacing w:after="0" w:line="240" w:lineRule="auto"/>
        <w:rPr>
          <w:rFonts w:ascii="Arabic Typesetting" w:hAnsi="Arabic Typesetting" w:cs="Arabic Typesetting"/>
          <w:b/>
          <w:bCs/>
          <w:sz w:val="28"/>
          <w:szCs w:val="28"/>
        </w:rPr>
      </w:pPr>
    </w:p>
    <w:p w:rsidR="008F302C" w:rsidRPr="00BA799A" w:rsidRDefault="008F302C" w:rsidP="00E45B84">
      <w:pPr>
        <w:autoSpaceDE w:val="0"/>
        <w:autoSpaceDN w:val="0"/>
        <w:adjustRightInd w:val="0"/>
        <w:spacing w:after="0" w:line="240" w:lineRule="auto"/>
        <w:rPr>
          <w:rFonts w:ascii="Arabic Typesetting" w:hAnsi="Arabic Typesetting" w:cs="Arabic Typesetting"/>
          <w:b/>
          <w:bCs/>
          <w:sz w:val="28"/>
          <w:szCs w:val="28"/>
        </w:rPr>
      </w:pPr>
    </w:p>
    <w:p w:rsidR="00BA799A" w:rsidRPr="00472B98" w:rsidRDefault="008F302C" w:rsidP="00E45B84">
      <w:pPr>
        <w:autoSpaceDE w:val="0"/>
        <w:autoSpaceDN w:val="0"/>
        <w:adjustRightInd w:val="0"/>
        <w:spacing w:after="0" w:line="240" w:lineRule="auto"/>
        <w:rPr>
          <w:rFonts w:ascii="Arabic Typesetting" w:hAnsi="Arabic Typesetting" w:cs="Arabic Typesetting"/>
          <w:b/>
          <w:bCs/>
          <w:sz w:val="28"/>
          <w:szCs w:val="28"/>
        </w:rPr>
      </w:pPr>
      <w:r w:rsidRPr="00472B98">
        <w:rPr>
          <w:rFonts w:ascii="Arabic Typesetting" w:hAnsi="Arabic Typesetting" w:cs="Arabic Typesetting"/>
          <w:b/>
          <w:bCs/>
          <w:sz w:val="28"/>
          <w:szCs w:val="28"/>
        </w:rPr>
        <w:t xml:space="preserve">Data di rilascio della relazione </w:t>
      </w:r>
    </w:p>
    <w:p w:rsidR="008F302C" w:rsidRPr="00BA799A" w:rsidRDefault="00A679A9" w:rsidP="00E45B84">
      <w:pPr>
        <w:autoSpaceDE w:val="0"/>
        <w:autoSpaceDN w:val="0"/>
        <w:adjustRightInd w:val="0"/>
        <w:spacing w:after="0" w:line="240" w:lineRule="auto"/>
        <w:rPr>
          <w:rFonts w:ascii="Arabic Typesetting" w:hAnsi="Arabic Typesetting" w:cs="Arabic Typesetting"/>
          <w:b/>
          <w:bCs/>
          <w:sz w:val="28"/>
          <w:szCs w:val="28"/>
        </w:rPr>
      </w:pPr>
      <w:r>
        <w:rPr>
          <w:rFonts w:ascii="Arabic Typesetting" w:hAnsi="Arabic Typesetting" w:cs="Arabic Typesetting"/>
          <w:b/>
          <w:bCs/>
          <w:sz w:val="28"/>
          <w:szCs w:val="28"/>
        </w:rPr>
        <w:t>30</w:t>
      </w:r>
      <w:r w:rsidR="007822ED" w:rsidRPr="000D676D">
        <w:rPr>
          <w:rFonts w:ascii="Arabic Typesetting" w:hAnsi="Arabic Typesetting" w:cs="Arabic Typesetting"/>
          <w:b/>
          <w:bCs/>
          <w:sz w:val="28"/>
          <w:szCs w:val="28"/>
        </w:rPr>
        <w:t xml:space="preserve"> maggio 2023</w:t>
      </w:r>
    </w:p>
    <w:p w:rsidR="00BA799A" w:rsidRDefault="00BA799A" w:rsidP="00BA799A">
      <w:pPr>
        <w:autoSpaceDE w:val="0"/>
        <w:autoSpaceDN w:val="0"/>
        <w:adjustRightInd w:val="0"/>
        <w:spacing w:after="0" w:line="240" w:lineRule="auto"/>
        <w:rPr>
          <w:rFonts w:ascii="Arabic Typesetting" w:hAnsi="Arabic Typesetting" w:cs="Arabic Typesetting"/>
          <w:b/>
          <w:bCs/>
          <w:sz w:val="32"/>
          <w:szCs w:val="32"/>
        </w:rPr>
      </w:pPr>
    </w:p>
    <w:p w:rsidR="00BA799A" w:rsidRDefault="00BA799A" w:rsidP="00BA799A">
      <w:pPr>
        <w:autoSpaceDE w:val="0"/>
        <w:autoSpaceDN w:val="0"/>
        <w:adjustRightInd w:val="0"/>
        <w:spacing w:after="0" w:line="240" w:lineRule="auto"/>
        <w:rPr>
          <w:rFonts w:ascii="Arabic Typesetting" w:hAnsi="Arabic Typesetting" w:cs="Arabic Typesetting"/>
          <w:b/>
          <w:bCs/>
          <w:sz w:val="32"/>
          <w:szCs w:val="32"/>
        </w:rPr>
      </w:pPr>
    </w:p>
    <w:p w:rsidR="00BA799A" w:rsidRDefault="00BA799A" w:rsidP="00BA799A">
      <w:pPr>
        <w:autoSpaceDE w:val="0"/>
        <w:autoSpaceDN w:val="0"/>
        <w:adjustRightInd w:val="0"/>
        <w:spacing w:after="0" w:line="240" w:lineRule="auto"/>
        <w:rPr>
          <w:rFonts w:ascii="Arabic Typesetting" w:hAnsi="Arabic Typesetting" w:cs="Arabic Typesetting"/>
          <w:b/>
          <w:bCs/>
          <w:sz w:val="32"/>
          <w:szCs w:val="32"/>
        </w:rPr>
      </w:pPr>
    </w:p>
    <w:p w:rsidR="008F302C" w:rsidRPr="00BA799A" w:rsidRDefault="00BA799A" w:rsidP="00BA799A">
      <w:pPr>
        <w:autoSpaceDE w:val="0"/>
        <w:autoSpaceDN w:val="0"/>
        <w:adjustRightInd w:val="0"/>
        <w:spacing w:after="0" w:line="240" w:lineRule="auto"/>
        <w:ind w:left="3540" w:firstLine="708"/>
        <w:rPr>
          <w:rFonts w:ascii="Arabic Typesetting" w:hAnsi="Arabic Typesetting" w:cs="Arabic Typesetting"/>
          <w:b/>
          <w:bCs/>
          <w:sz w:val="28"/>
          <w:szCs w:val="28"/>
        </w:rPr>
      </w:pPr>
      <w:r>
        <w:rPr>
          <w:rFonts w:ascii="Arabic Typesetting" w:hAnsi="Arabic Typesetting" w:cs="Arabic Typesetting"/>
          <w:b/>
          <w:bCs/>
          <w:sz w:val="28"/>
          <w:szCs w:val="28"/>
        </w:rPr>
        <w:t xml:space="preserve">Il Nucleo di </w:t>
      </w:r>
      <w:r w:rsidR="008F302C" w:rsidRPr="00BA799A">
        <w:rPr>
          <w:rFonts w:ascii="Arabic Typesetting" w:hAnsi="Arabic Typesetting" w:cs="Arabic Typesetting"/>
          <w:b/>
          <w:bCs/>
          <w:sz w:val="28"/>
          <w:szCs w:val="28"/>
        </w:rPr>
        <w:t>Valutazione</w:t>
      </w:r>
    </w:p>
    <w:p w:rsidR="008F302C" w:rsidRPr="00BA799A" w:rsidRDefault="008F302C" w:rsidP="00BA799A">
      <w:pPr>
        <w:autoSpaceDE w:val="0"/>
        <w:autoSpaceDN w:val="0"/>
        <w:adjustRightInd w:val="0"/>
        <w:spacing w:after="0" w:line="240" w:lineRule="auto"/>
        <w:ind w:left="3540" w:firstLine="708"/>
        <w:rPr>
          <w:rFonts w:ascii="Arabic Typesetting" w:hAnsi="Arabic Typesetting" w:cs="Arabic Typesetting"/>
          <w:b/>
          <w:bCs/>
          <w:sz w:val="28"/>
          <w:szCs w:val="28"/>
        </w:rPr>
      </w:pPr>
      <w:r w:rsidRPr="00BA799A">
        <w:rPr>
          <w:rFonts w:ascii="Arabic Typesetting" w:hAnsi="Arabic Typesetting" w:cs="Arabic Typesetting"/>
          <w:b/>
          <w:bCs/>
          <w:sz w:val="28"/>
          <w:szCs w:val="28"/>
        </w:rPr>
        <w:t>Dott.ssa Elisabetta Cattini</w:t>
      </w:r>
    </w:p>
    <w:p w:rsidR="008F302C" w:rsidRDefault="008F302C" w:rsidP="00E45B84">
      <w:pPr>
        <w:autoSpaceDE w:val="0"/>
        <w:autoSpaceDN w:val="0"/>
        <w:adjustRightInd w:val="0"/>
        <w:spacing w:after="0" w:line="240" w:lineRule="auto"/>
        <w:rPr>
          <w:b/>
          <w:bCs/>
        </w:rPr>
      </w:pPr>
    </w:p>
    <w:p w:rsidR="008F302C" w:rsidRDefault="008F302C" w:rsidP="00E45B84">
      <w:pPr>
        <w:autoSpaceDE w:val="0"/>
        <w:autoSpaceDN w:val="0"/>
        <w:adjustRightInd w:val="0"/>
        <w:spacing w:after="0" w:line="240" w:lineRule="auto"/>
        <w:rPr>
          <w:b/>
          <w:bCs/>
        </w:rPr>
      </w:pPr>
    </w:p>
    <w:p w:rsidR="008F302C" w:rsidRDefault="008F302C" w:rsidP="00E45B84">
      <w:pPr>
        <w:autoSpaceDE w:val="0"/>
        <w:autoSpaceDN w:val="0"/>
        <w:adjustRightInd w:val="0"/>
        <w:spacing w:after="0" w:line="240" w:lineRule="auto"/>
        <w:rPr>
          <w:b/>
          <w:bCs/>
        </w:rPr>
      </w:pPr>
    </w:p>
    <w:p w:rsidR="008F302C" w:rsidRDefault="008F302C" w:rsidP="00E45B84">
      <w:pPr>
        <w:autoSpaceDE w:val="0"/>
        <w:autoSpaceDN w:val="0"/>
        <w:adjustRightInd w:val="0"/>
        <w:spacing w:after="0" w:line="240" w:lineRule="auto"/>
        <w:rPr>
          <w:b/>
          <w:bCs/>
        </w:rPr>
      </w:pPr>
    </w:p>
    <w:p w:rsidR="008F302C" w:rsidRDefault="008F302C" w:rsidP="00E45B84">
      <w:pPr>
        <w:autoSpaceDE w:val="0"/>
        <w:autoSpaceDN w:val="0"/>
        <w:adjustRightInd w:val="0"/>
        <w:spacing w:after="0" w:line="240" w:lineRule="auto"/>
        <w:rPr>
          <w:b/>
          <w:bCs/>
        </w:rPr>
      </w:pPr>
    </w:p>
    <w:p w:rsidR="008F302C" w:rsidRDefault="008F302C" w:rsidP="00E45B84">
      <w:pPr>
        <w:autoSpaceDE w:val="0"/>
        <w:autoSpaceDN w:val="0"/>
        <w:adjustRightInd w:val="0"/>
        <w:spacing w:after="0" w:line="240" w:lineRule="auto"/>
        <w:rPr>
          <w:b/>
          <w:bCs/>
        </w:rPr>
      </w:pPr>
    </w:p>
    <w:p w:rsidR="00E45B84" w:rsidRPr="001733FE" w:rsidRDefault="00E45B84" w:rsidP="00E45B84">
      <w:pPr>
        <w:autoSpaceDE w:val="0"/>
        <w:autoSpaceDN w:val="0"/>
        <w:adjustRightInd w:val="0"/>
        <w:spacing w:after="0" w:line="240" w:lineRule="auto"/>
        <w:rPr>
          <w:b/>
          <w:bCs/>
        </w:rPr>
      </w:pPr>
      <w:r w:rsidRPr="001733FE">
        <w:rPr>
          <w:b/>
          <w:bCs/>
        </w:rPr>
        <w:t>1</w:t>
      </w:r>
      <w:r w:rsidR="00F656C2" w:rsidRPr="001733FE">
        <w:rPr>
          <w:b/>
          <w:bCs/>
        </w:rPr>
        <w:t>._ INTRODUZIONE</w:t>
      </w:r>
    </w:p>
    <w:p w:rsidR="009541A1" w:rsidRPr="001733FE" w:rsidRDefault="009541A1" w:rsidP="00E45B84">
      <w:pPr>
        <w:autoSpaceDE w:val="0"/>
        <w:autoSpaceDN w:val="0"/>
        <w:adjustRightInd w:val="0"/>
        <w:spacing w:after="0" w:line="240" w:lineRule="auto"/>
        <w:rPr>
          <w:b/>
          <w:bCs/>
        </w:rPr>
      </w:pPr>
    </w:p>
    <w:p w:rsidR="00013D65" w:rsidRPr="001733FE" w:rsidRDefault="00013D65" w:rsidP="00013D65">
      <w:pPr>
        <w:autoSpaceDE w:val="0"/>
        <w:autoSpaceDN w:val="0"/>
        <w:adjustRightInd w:val="0"/>
        <w:spacing w:after="0" w:line="240" w:lineRule="auto"/>
        <w:jc w:val="both"/>
        <w:rPr>
          <w:rFonts w:eastAsia="CenturyGothic-OneByteIdentityH"/>
        </w:rPr>
      </w:pPr>
      <w:r w:rsidRPr="003F6CE2">
        <w:rPr>
          <w:rFonts w:cs="Calibri"/>
          <w:color w:val="000000"/>
        </w:rPr>
        <w:t xml:space="preserve">La presente relazione del Nucleo di Valutazione fornisce un’analisi generale sul grado di sviluppo e di funzionamento del sistema di valutazione, trasparenza e integrità dei controlli interni della </w:t>
      </w:r>
      <w:r w:rsidRPr="003F6CE2">
        <w:rPr>
          <w:rFonts w:eastAsia="CenturyGothic-OneByteIdentityH"/>
        </w:rPr>
        <w:t>Città metropolitana di Venezia (CmVE)</w:t>
      </w:r>
      <w:r w:rsidRPr="003F6CE2">
        <w:rPr>
          <w:rFonts w:cs="Calibri"/>
          <w:color w:val="000000"/>
        </w:rPr>
        <w:t>, ai sensi dell’art. 14, comma 4, lettera a) del D. Lgs. n. 150/2009, nonché alcune osservazioni sulle</w:t>
      </w:r>
      <w:r w:rsidRPr="003F6CE2">
        <w:rPr>
          <w:rFonts w:eastAsia="CenturyGothic-OneByteIdentityH"/>
        </w:rPr>
        <w:t xml:space="preserve"> prospettive di sviluppo ed implementazione.</w:t>
      </w:r>
    </w:p>
    <w:p w:rsidR="00013D65" w:rsidRDefault="00013D65" w:rsidP="00013D65">
      <w:pPr>
        <w:pStyle w:val="LO-normal1"/>
        <w:jc w:val="both"/>
        <w:rPr>
          <w:rFonts w:ascii="Calibri" w:eastAsia="Calibri" w:hAnsi="Calibri" w:cs="Calibri"/>
          <w:color w:val="000000"/>
          <w:highlight w:val="white"/>
        </w:rPr>
      </w:pPr>
    </w:p>
    <w:p w:rsidR="00013D65" w:rsidRDefault="00013D65" w:rsidP="00013D65">
      <w:pPr>
        <w:pStyle w:val="LO-normal1"/>
        <w:jc w:val="both"/>
        <w:rPr>
          <w:rFonts w:ascii="Calibri" w:eastAsia="Calibri" w:hAnsi="Calibri" w:cs="Calibri"/>
          <w:color w:val="000000"/>
          <w:highlight w:val="white"/>
        </w:rPr>
      </w:pPr>
    </w:p>
    <w:p w:rsidR="00E45B84" w:rsidRPr="001733FE" w:rsidRDefault="00E45B84" w:rsidP="00790175">
      <w:pPr>
        <w:autoSpaceDE w:val="0"/>
        <w:autoSpaceDN w:val="0"/>
        <w:adjustRightInd w:val="0"/>
        <w:spacing w:after="0" w:line="240" w:lineRule="auto"/>
        <w:jc w:val="both"/>
        <w:rPr>
          <w:rFonts w:eastAsia="CenturyGothic-OneByteIdentityH"/>
        </w:rPr>
      </w:pPr>
      <w:r w:rsidRPr="001733FE">
        <w:rPr>
          <w:rFonts w:eastAsia="CenturyGothic-OneByteIdentityH"/>
        </w:rPr>
        <w:t xml:space="preserve">La relazione prende in considerazione tutti i principali aspetti che caratterizzano </w:t>
      </w:r>
      <w:r w:rsidR="00962990" w:rsidRPr="001733FE">
        <w:rPr>
          <w:rFonts w:eastAsia="CenturyGothic-OneByteIdentityH"/>
        </w:rPr>
        <w:t>il SMVP</w:t>
      </w:r>
      <w:r w:rsidR="00186E1D" w:rsidRPr="001733FE">
        <w:rPr>
          <w:rFonts w:eastAsia="CenturyGothic-OneByteIdentityH"/>
        </w:rPr>
        <w:t xml:space="preserve"> nelle sue connessioni con il</w:t>
      </w:r>
      <w:r w:rsidRPr="001733FE">
        <w:rPr>
          <w:rFonts w:eastAsia="CenturyGothic-OneByteIdentityH"/>
        </w:rPr>
        <w:t xml:space="preserve"> sistema di </w:t>
      </w:r>
      <w:r w:rsidR="00790175" w:rsidRPr="001733FE">
        <w:rPr>
          <w:rFonts w:eastAsia="CenturyGothic-OneByteIdentityH"/>
        </w:rPr>
        <w:t>t</w:t>
      </w:r>
      <w:r w:rsidRPr="001733FE">
        <w:rPr>
          <w:rFonts w:eastAsia="CenturyGothic-OneByteIdentityH"/>
        </w:rPr>
        <w:t>rasparenza ed integrità,</w:t>
      </w:r>
      <w:r w:rsidR="00186E1D" w:rsidRPr="001733FE">
        <w:rPr>
          <w:rFonts w:eastAsia="CenturyGothic-OneByteIdentityH"/>
        </w:rPr>
        <w:t xml:space="preserve"> </w:t>
      </w:r>
      <w:r w:rsidRPr="001733FE">
        <w:rPr>
          <w:rFonts w:eastAsia="CenturyGothic-OneByteIdentityH"/>
        </w:rPr>
        <w:t>nonché l’integrazione con i diversi sistemi di controllo interno adottati.</w:t>
      </w:r>
    </w:p>
    <w:p w:rsidR="00790175" w:rsidRPr="001733FE" w:rsidRDefault="00790175" w:rsidP="00790175">
      <w:pPr>
        <w:autoSpaceDE w:val="0"/>
        <w:autoSpaceDN w:val="0"/>
        <w:adjustRightInd w:val="0"/>
        <w:spacing w:after="0" w:line="240" w:lineRule="auto"/>
        <w:jc w:val="both"/>
        <w:rPr>
          <w:rFonts w:eastAsia="CenturyGothic-OneByteIdentityH"/>
        </w:rPr>
      </w:pPr>
    </w:p>
    <w:p w:rsidR="00E45B84" w:rsidRPr="001733FE" w:rsidRDefault="00E45B84" w:rsidP="00790175">
      <w:pPr>
        <w:autoSpaceDE w:val="0"/>
        <w:autoSpaceDN w:val="0"/>
        <w:adjustRightInd w:val="0"/>
        <w:spacing w:after="0" w:line="240" w:lineRule="auto"/>
        <w:jc w:val="both"/>
        <w:rPr>
          <w:rFonts w:eastAsia="CenturyGothic-OneByteIdentityH"/>
        </w:rPr>
      </w:pPr>
      <w:r w:rsidRPr="001733FE">
        <w:rPr>
          <w:rFonts w:eastAsia="CenturyGothic-OneByteIdentityH"/>
        </w:rPr>
        <w:t xml:space="preserve">La relazione </w:t>
      </w:r>
      <w:r w:rsidR="004A7E94" w:rsidRPr="001733FE">
        <w:rPr>
          <w:rFonts w:eastAsia="CenturyGothic-OneByteIdentityH"/>
        </w:rPr>
        <w:t xml:space="preserve">sostanzia </w:t>
      </w:r>
      <w:r w:rsidRPr="001733FE">
        <w:rPr>
          <w:rFonts w:eastAsia="CenturyGothic-OneByteIdentityH"/>
        </w:rPr>
        <w:t>la valutazione</w:t>
      </w:r>
      <w:r w:rsidR="00EB01EF" w:rsidRPr="001733FE">
        <w:rPr>
          <w:rFonts w:eastAsia="CenturyGothic-OneByteIdentityH"/>
        </w:rPr>
        <w:t xml:space="preserve"> del N</w:t>
      </w:r>
      <w:r w:rsidR="004A7E94" w:rsidRPr="001733FE">
        <w:rPr>
          <w:rFonts w:eastAsia="CenturyGothic-OneByteIdentityH"/>
        </w:rPr>
        <w:t>dV</w:t>
      </w:r>
      <w:r w:rsidR="00EB01EF" w:rsidRPr="001733FE">
        <w:rPr>
          <w:rFonts w:eastAsia="CenturyGothic-OneByteIdentityH"/>
        </w:rPr>
        <w:t xml:space="preserve"> </w:t>
      </w:r>
      <w:r w:rsidRPr="001733FE">
        <w:rPr>
          <w:rFonts w:eastAsia="CenturyGothic-OneByteIdentityH"/>
        </w:rPr>
        <w:t>a seguito delle attività di verifica condotte nel pieno</w:t>
      </w:r>
      <w:r w:rsidR="00EB01EF" w:rsidRPr="001733FE">
        <w:rPr>
          <w:rFonts w:eastAsia="CenturyGothic-OneByteIdentityH"/>
        </w:rPr>
        <w:t xml:space="preserve"> </w:t>
      </w:r>
      <w:r w:rsidRPr="001733FE">
        <w:rPr>
          <w:rFonts w:eastAsia="CenturyGothic-OneByteIdentityH"/>
        </w:rPr>
        <w:t>rispetto del proprio ruolo di autonomia e indipendenza rispetto all’organizzazione analizzata.</w:t>
      </w:r>
    </w:p>
    <w:p w:rsidR="00790175" w:rsidRPr="001733FE" w:rsidRDefault="00790175" w:rsidP="00790175">
      <w:pPr>
        <w:autoSpaceDE w:val="0"/>
        <w:autoSpaceDN w:val="0"/>
        <w:adjustRightInd w:val="0"/>
        <w:spacing w:after="0" w:line="240" w:lineRule="auto"/>
        <w:jc w:val="both"/>
        <w:rPr>
          <w:rFonts w:eastAsia="CenturyGothic-OneByteIdentityH"/>
        </w:rPr>
      </w:pPr>
    </w:p>
    <w:p w:rsidR="00E45B84" w:rsidRPr="001733FE" w:rsidRDefault="00E45B84" w:rsidP="00790175">
      <w:pPr>
        <w:autoSpaceDE w:val="0"/>
        <w:autoSpaceDN w:val="0"/>
        <w:adjustRightInd w:val="0"/>
        <w:spacing w:after="0" w:line="240" w:lineRule="auto"/>
        <w:jc w:val="both"/>
        <w:rPr>
          <w:rFonts w:eastAsia="CenturyGothic-OneByteIdentityH"/>
        </w:rPr>
      </w:pPr>
      <w:r w:rsidRPr="001733FE">
        <w:rPr>
          <w:rFonts w:eastAsia="CenturyGothic-OneByteIdentityH"/>
        </w:rPr>
        <w:t xml:space="preserve">La relazione prende come riferimento il ciclo della performance dell’esercizio </w:t>
      </w:r>
      <w:r w:rsidR="007822ED">
        <w:rPr>
          <w:rFonts w:eastAsia="CenturyGothic-OneByteIdentityH"/>
        </w:rPr>
        <w:t>2022</w:t>
      </w:r>
      <w:r w:rsidR="0043308A" w:rsidRPr="00646EBA">
        <w:rPr>
          <w:rFonts w:eastAsia="CenturyGothic-OneByteIdentityH"/>
        </w:rPr>
        <w:t xml:space="preserve"> </w:t>
      </w:r>
      <w:r w:rsidR="00FE14EF" w:rsidRPr="00646EBA">
        <w:rPr>
          <w:rFonts w:eastAsia="CenturyGothic-OneByteIdentityH"/>
        </w:rPr>
        <w:t>e sarà</w:t>
      </w:r>
      <w:r w:rsidR="00FE14EF" w:rsidRPr="001733FE">
        <w:rPr>
          <w:rFonts w:eastAsia="CenturyGothic-OneByteIdentityH"/>
        </w:rPr>
        <w:t xml:space="preserve"> pubblicata nel sito istituzionale, sezione “</w:t>
      </w:r>
      <w:r w:rsidR="007822ED">
        <w:rPr>
          <w:rFonts w:eastAsia="CenturyGothic-OneByteIdentityH"/>
        </w:rPr>
        <w:t>A</w:t>
      </w:r>
      <w:r w:rsidR="00FE14EF" w:rsidRPr="001733FE">
        <w:rPr>
          <w:rFonts w:eastAsia="CenturyGothic-OneByteIdentityH"/>
        </w:rPr>
        <w:t>mministrazione trasparente”.</w:t>
      </w:r>
    </w:p>
    <w:p w:rsidR="00790175" w:rsidRPr="001733FE" w:rsidRDefault="00790175" w:rsidP="00790175">
      <w:pPr>
        <w:autoSpaceDE w:val="0"/>
        <w:autoSpaceDN w:val="0"/>
        <w:adjustRightInd w:val="0"/>
        <w:spacing w:after="0" w:line="240" w:lineRule="auto"/>
        <w:jc w:val="both"/>
        <w:rPr>
          <w:rFonts w:eastAsia="CenturyGothic-OneByteIdentityH"/>
        </w:rPr>
      </w:pPr>
    </w:p>
    <w:p w:rsidR="00E45B84" w:rsidRPr="001733FE" w:rsidRDefault="004A7E94" w:rsidP="00790175">
      <w:pPr>
        <w:autoSpaceDE w:val="0"/>
        <w:autoSpaceDN w:val="0"/>
        <w:adjustRightInd w:val="0"/>
        <w:spacing w:after="0" w:line="240" w:lineRule="auto"/>
        <w:jc w:val="both"/>
        <w:rPr>
          <w:rFonts w:eastAsia="CenturyGothic-OneByteIdentityH"/>
        </w:rPr>
      </w:pPr>
      <w:r w:rsidRPr="001733FE">
        <w:rPr>
          <w:rFonts w:eastAsia="CenturyGothic-OneByteIdentityH"/>
        </w:rPr>
        <w:t xml:space="preserve">Sono considerati </w:t>
      </w:r>
      <w:r w:rsidR="00E45B84" w:rsidRPr="001733FE">
        <w:rPr>
          <w:rFonts w:eastAsia="CenturyGothic-OneByteIdentityH"/>
        </w:rPr>
        <w:t>i seguenti ambiti:</w:t>
      </w:r>
    </w:p>
    <w:p w:rsidR="00E45B84" w:rsidRPr="001733FE" w:rsidRDefault="00E45B84" w:rsidP="00210242">
      <w:pPr>
        <w:numPr>
          <w:ilvl w:val="0"/>
          <w:numId w:val="3"/>
        </w:numPr>
        <w:autoSpaceDE w:val="0"/>
        <w:autoSpaceDN w:val="0"/>
        <w:adjustRightInd w:val="0"/>
        <w:spacing w:after="0" w:line="240" w:lineRule="auto"/>
        <w:jc w:val="both"/>
        <w:rPr>
          <w:rFonts w:eastAsia="CenturyGothic-OneByteIdentityH"/>
        </w:rPr>
      </w:pPr>
      <w:r w:rsidRPr="001733FE">
        <w:rPr>
          <w:rFonts w:eastAsia="CenturyGothic-OneByteIdentityH"/>
        </w:rPr>
        <w:t>funzionamento complessivo del Sistema;</w:t>
      </w:r>
    </w:p>
    <w:p w:rsidR="00E45B84" w:rsidRPr="001733FE" w:rsidRDefault="00E45B84" w:rsidP="00210242">
      <w:pPr>
        <w:numPr>
          <w:ilvl w:val="0"/>
          <w:numId w:val="3"/>
        </w:numPr>
        <w:autoSpaceDE w:val="0"/>
        <w:autoSpaceDN w:val="0"/>
        <w:adjustRightInd w:val="0"/>
        <w:spacing w:after="0" w:line="240" w:lineRule="auto"/>
        <w:jc w:val="both"/>
        <w:rPr>
          <w:rFonts w:eastAsia="CenturyGothic-OneByteIdentityH"/>
        </w:rPr>
      </w:pPr>
      <w:r w:rsidRPr="001733FE">
        <w:rPr>
          <w:rFonts w:eastAsia="CenturyGothic-OneByteIdentityH"/>
        </w:rPr>
        <w:t>sistema premiale;</w:t>
      </w:r>
    </w:p>
    <w:p w:rsidR="00E45B84" w:rsidRPr="001733FE" w:rsidRDefault="00E45B84" w:rsidP="00210242">
      <w:pPr>
        <w:numPr>
          <w:ilvl w:val="0"/>
          <w:numId w:val="3"/>
        </w:numPr>
        <w:autoSpaceDE w:val="0"/>
        <w:autoSpaceDN w:val="0"/>
        <w:adjustRightInd w:val="0"/>
        <w:spacing w:after="0" w:line="240" w:lineRule="auto"/>
        <w:jc w:val="both"/>
        <w:rPr>
          <w:rFonts w:eastAsia="CenturyGothic-OneByteIdentityH"/>
        </w:rPr>
      </w:pPr>
      <w:r w:rsidRPr="001733FE">
        <w:rPr>
          <w:rFonts w:eastAsia="CenturyGothic-OneByteIdentityH"/>
        </w:rPr>
        <w:t xml:space="preserve">sistema di trasparenza, integrità e rispetto </w:t>
      </w:r>
      <w:r w:rsidR="004A7E94" w:rsidRPr="001733FE">
        <w:rPr>
          <w:rFonts w:eastAsia="CenturyGothic-OneByteIdentityH"/>
        </w:rPr>
        <w:t>degli obblighi di pubblicazione</w:t>
      </w:r>
    </w:p>
    <w:p w:rsidR="004A7E94" w:rsidRPr="001733FE" w:rsidRDefault="004A7E94" w:rsidP="00210242">
      <w:pPr>
        <w:numPr>
          <w:ilvl w:val="0"/>
          <w:numId w:val="2"/>
        </w:numPr>
        <w:autoSpaceDE w:val="0"/>
        <w:autoSpaceDN w:val="0"/>
        <w:adjustRightInd w:val="0"/>
        <w:spacing w:after="0" w:line="240" w:lineRule="auto"/>
        <w:jc w:val="both"/>
        <w:rPr>
          <w:rFonts w:eastAsia="CenturyGothic-OneByteIdentityH"/>
        </w:rPr>
      </w:pPr>
      <w:r w:rsidRPr="001733FE">
        <w:rPr>
          <w:rFonts w:eastAsia="CenturyGothic-OneByteIdentityH"/>
        </w:rPr>
        <w:t>prospettive di sviluppo ed implementazione</w:t>
      </w:r>
    </w:p>
    <w:p w:rsidR="00790175" w:rsidRPr="00F656C2" w:rsidRDefault="00790175" w:rsidP="00790175">
      <w:pPr>
        <w:autoSpaceDE w:val="0"/>
        <w:autoSpaceDN w:val="0"/>
        <w:adjustRightInd w:val="0"/>
        <w:spacing w:after="0" w:line="240" w:lineRule="auto"/>
        <w:jc w:val="both"/>
        <w:rPr>
          <w:rFonts w:ascii="Times New Roman" w:eastAsia="CenturyGothic-OneByteIdentityH" w:hAnsi="Times New Roman"/>
          <w:sz w:val="24"/>
          <w:szCs w:val="24"/>
        </w:rPr>
      </w:pPr>
    </w:p>
    <w:p w:rsidR="00857C43" w:rsidRPr="001733FE" w:rsidRDefault="00F656C2" w:rsidP="00186E1D">
      <w:pPr>
        <w:autoSpaceDE w:val="0"/>
        <w:autoSpaceDN w:val="0"/>
        <w:adjustRightInd w:val="0"/>
        <w:spacing w:after="0" w:line="240" w:lineRule="auto"/>
        <w:jc w:val="both"/>
        <w:rPr>
          <w:b/>
          <w:bCs/>
          <w:lang w:eastAsia="it-IT"/>
        </w:rPr>
      </w:pPr>
      <w:r w:rsidRPr="001733FE">
        <w:rPr>
          <w:b/>
          <w:bCs/>
          <w:lang w:eastAsia="it-IT"/>
        </w:rPr>
        <w:t>2._</w:t>
      </w:r>
      <w:r w:rsidR="00857C43" w:rsidRPr="001733FE">
        <w:rPr>
          <w:b/>
          <w:bCs/>
          <w:lang w:eastAsia="it-IT"/>
        </w:rPr>
        <w:t>FUNZIONAMENTO COMPLESSIVO DEL SISTEMA DI MISURAZIONE E VALUTAZIONE</w:t>
      </w:r>
    </w:p>
    <w:p w:rsidR="00857C43" w:rsidRPr="001733FE" w:rsidRDefault="00857C43" w:rsidP="00857C43">
      <w:pPr>
        <w:autoSpaceDE w:val="0"/>
        <w:autoSpaceDN w:val="0"/>
        <w:adjustRightInd w:val="0"/>
        <w:spacing w:after="0" w:line="240" w:lineRule="auto"/>
        <w:rPr>
          <w:b/>
          <w:bCs/>
          <w:lang w:eastAsia="it-IT"/>
        </w:rPr>
      </w:pPr>
    </w:p>
    <w:p w:rsidR="004A7E94" w:rsidRDefault="004A7E94" w:rsidP="00857C43">
      <w:pPr>
        <w:autoSpaceDE w:val="0"/>
        <w:autoSpaceDN w:val="0"/>
        <w:adjustRightInd w:val="0"/>
        <w:spacing w:after="0" w:line="240" w:lineRule="auto"/>
        <w:rPr>
          <w:b/>
          <w:bCs/>
          <w:lang w:eastAsia="it-IT"/>
        </w:rPr>
      </w:pPr>
      <w:r w:rsidRPr="001733FE">
        <w:rPr>
          <w:b/>
          <w:bCs/>
          <w:lang w:eastAsia="it-IT"/>
        </w:rPr>
        <w:t>2.1_ Riferimenti organizzativi</w:t>
      </w:r>
    </w:p>
    <w:p w:rsidR="001733FE" w:rsidRPr="001733FE" w:rsidRDefault="001733FE" w:rsidP="00857C43">
      <w:pPr>
        <w:autoSpaceDE w:val="0"/>
        <w:autoSpaceDN w:val="0"/>
        <w:adjustRightInd w:val="0"/>
        <w:spacing w:after="0" w:line="240" w:lineRule="auto"/>
        <w:rPr>
          <w:b/>
          <w:bCs/>
          <w:lang w:eastAsia="it-IT"/>
        </w:rPr>
      </w:pPr>
    </w:p>
    <w:p w:rsidR="00BA799A" w:rsidRPr="009439DA" w:rsidRDefault="004A7E94" w:rsidP="00BA799A">
      <w:pPr>
        <w:autoSpaceDE w:val="0"/>
        <w:autoSpaceDN w:val="0"/>
        <w:adjustRightInd w:val="0"/>
        <w:spacing w:after="0" w:line="240" w:lineRule="auto"/>
        <w:ind w:firstLine="708"/>
        <w:jc w:val="both"/>
        <w:rPr>
          <w:rFonts w:eastAsia="CenturyGothic-OneByteIdentityH"/>
        </w:rPr>
      </w:pPr>
      <w:r w:rsidRPr="001733FE">
        <w:rPr>
          <w:rFonts w:eastAsia="CenturyGothic-OneByteIdentityH"/>
        </w:rPr>
        <w:t xml:space="preserve">L’attività </w:t>
      </w:r>
      <w:r w:rsidR="001A6D1E" w:rsidRPr="001733FE">
        <w:rPr>
          <w:rFonts w:eastAsia="CenturyGothic-OneByteIdentityH"/>
        </w:rPr>
        <w:t>oggetto della presente relazione, oltre che dalle norme v</w:t>
      </w:r>
      <w:r w:rsidR="009B2874" w:rsidRPr="001733FE">
        <w:rPr>
          <w:rFonts w:eastAsia="CenturyGothic-OneByteIdentityH"/>
        </w:rPr>
        <w:t>igenti in materia (d.lgs n. 165</w:t>
      </w:r>
      <w:r w:rsidR="001A6D1E" w:rsidRPr="001733FE">
        <w:rPr>
          <w:rFonts w:eastAsia="CenturyGothic-OneByteIdentityH"/>
        </w:rPr>
        <w:t xml:space="preserve">/2001 e d.lgs n. 150/2009, come successivamente modificati ed integrati) </w:t>
      </w:r>
      <w:r w:rsidR="008250AC" w:rsidRPr="001733FE">
        <w:rPr>
          <w:rFonts w:eastAsia="CenturyGothic-OneByteIdentityH"/>
        </w:rPr>
        <w:t xml:space="preserve">è </w:t>
      </w:r>
      <w:r w:rsidR="00F656C2" w:rsidRPr="001733FE">
        <w:rPr>
          <w:rFonts w:eastAsia="CenturyGothic-OneByteIdentityH"/>
        </w:rPr>
        <w:t xml:space="preserve">ancora </w:t>
      </w:r>
      <w:r w:rsidR="008250AC" w:rsidRPr="001733FE">
        <w:rPr>
          <w:rFonts w:eastAsia="CenturyGothic-OneByteIdentityH"/>
        </w:rPr>
        <w:t xml:space="preserve">disciplinata </w:t>
      </w:r>
      <w:r w:rsidR="009B2874" w:rsidRPr="001733FE">
        <w:rPr>
          <w:rFonts w:eastAsia="CenturyGothic-OneByteIdentityH"/>
        </w:rPr>
        <w:t xml:space="preserve">dal </w:t>
      </w:r>
      <w:r w:rsidR="00F460E3" w:rsidRPr="001733FE">
        <w:rPr>
          <w:rFonts w:eastAsia="CenturyGothic-OneByteIdentityH"/>
        </w:rPr>
        <w:t>Regolamento sul sistema dei controlli interni come da ult</w:t>
      </w:r>
      <w:r w:rsidR="009B2874" w:rsidRPr="001733FE">
        <w:rPr>
          <w:rFonts w:eastAsia="CenturyGothic-OneByteIdentityH"/>
        </w:rPr>
        <w:t>imo modificato con deliberazione</w:t>
      </w:r>
      <w:r w:rsidR="00F460E3" w:rsidRPr="001733FE">
        <w:rPr>
          <w:rFonts w:eastAsia="CenturyGothic-OneByteIdentityH"/>
        </w:rPr>
        <w:t xml:space="preserve"> </w:t>
      </w:r>
      <w:r w:rsidR="009B2874" w:rsidRPr="001733FE">
        <w:rPr>
          <w:rFonts w:eastAsia="CenturyGothic-OneByteIdentityH"/>
        </w:rPr>
        <w:t xml:space="preserve">CP n. 52 del 28 ottobre 2014, adattato al subentro della Città metropolitana a seguito della legge n. 56/2014. </w:t>
      </w:r>
      <w:r w:rsidR="00402E8B" w:rsidRPr="001733FE">
        <w:rPr>
          <w:rFonts w:eastAsia="CenturyGothic-OneByteIdentityH"/>
        </w:rPr>
        <w:t xml:space="preserve">Tale contesto, infatti, è stato significativamente modificato </w:t>
      </w:r>
      <w:r w:rsidR="00687D32" w:rsidRPr="001733FE">
        <w:rPr>
          <w:rFonts w:eastAsia="CenturyGothic-OneByteIdentityH"/>
        </w:rPr>
        <w:t>a seguito de</w:t>
      </w:r>
      <w:r w:rsidR="00402E8B" w:rsidRPr="001733FE">
        <w:rPr>
          <w:rFonts w:eastAsia="CenturyGothic-OneByteIdentityH"/>
        </w:rPr>
        <w:t>ll’approvazione dello</w:t>
      </w:r>
      <w:r w:rsidR="00687D32" w:rsidRPr="001733FE">
        <w:rPr>
          <w:rFonts w:eastAsia="CenturyGothic-OneByteIdentityH"/>
        </w:rPr>
        <w:t xml:space="preserve"> Statuto metropolitano, de</w:t>
      </w:r>
      <w:r w:rsidR="00402E8B" w:rsidRPr="001733FE">
        <w:rPr>
          <w:rFonts w:eastAsia="CenturyGothic-OneByteIdentityH"/>
        </w:rPr>
        <w:t>lla nuo</w:t>
      </w:r>
      <w:r w:rsidR="00402E8B" w:rsidRPr="00E1282B">
        <w:rPr>
          <w:rFonts w:eastAsia="CenturyGothic-OneByteIdentityH"/>
        </w:rPr>
        <w:t>va macrostruttura dell’ente, con relativo funzionigramma e dotazione organica</w:t>
      </w:r>
      <w:r w:rsidR="00F656C2" w:rsidRPr="00E1282B">
        <w:rPr>
          <w:rFonts w:eastAsia="CenturyGothic-OneByteIdentityH"/>
        </w:rPr>
        <w:t xml:space="preserve"> (da ultimo approvat</w:t>
      </w:r>
      <w:r w:rsidR="00BA799A" w:rsidRPr="00E1282B">
        <w:rPr>
          <w:rFonts w:eastAsia="CenturyGothic-OneByteIdentityH"/>
        </w:rPr>
        <w:t>a</w:t>
      </w:r>
      <w:r w:rsidR="00F656C2" w:rsidRPr="00E1282B">
        <w:rPr>
          <w:rFonts w:eastAsia="CenturyGothic-OneByteIdentityH"/>
        </w:rPr>
        <w:t xml:space="preserve"> </w:t>
      </w:r>
      <w:r w:rsidR="00E1282B" w:rsidRPr="00E1282B">
        <w:t>con decreto</w:t>
      </w:r>
      <w:r w:rsidR="00E1282B">
        <w:t xml:space="preserve"> sindacale n. 34 del 16 giugno </w:t>
      </w:r>
      <w:r w:rsidR="00E1282B" w:rsidRPr="00E1282B">
        <w:t>2022</w:t>
      </w:r>
      <w:r w:rsidR="00E1282B">
        <w:t>)</w:t>
      </w:r>
      <w:r w:rsidR="00402E8B" w:rsidRPr="00E1282B">
        <w:rPr>
          <w:rFonts w:eastAsia="CenturyGothic-OneByteIdentityH"/>
        </w:rPr>
        <w:t>,</w:t>
      </w:r>
      <w:r w:rsidR="00402E8B" w:rsidRPr="009439DA">
        <w:rPr>
          <w:rFonts w:eastAsia="CenturyGothic-OneByteIdentityH"/>
        </w:rPr>
        <w:t xml:space="preserve"> nonché </w:t>
      </w:r>
      <w:r w:rsidR="00687D32" w:rsidRPr="009439DA">
        <w:rPr>
          <w:rFonts w:eastAsia="CenturyGothic-OneByteIdentityH"/>
        </w:rPr>
        <w:t>de</w:t>
      </w:r>
      <w:r w:rsidR="00402E8B" w:rsidRPr="009439DA">
        <w:rPr>
          <w:rFonts w:eastAsia="CenturyGothic-OneByteIdentityH"/>
        </w:rPr>
        <w:t>l nuovo regolamento di organizzazione degli uffici e servizi (</w:t>
      </w:r>
      <w:r w:rsidR="00F656C2" w:rsidRPr="009439DA">
        <w:rPr>
          <w:rFonts w:eastAsia="CenturyGothic-OneByteIdentityH"/>
        </w:rPr>
        <w:t>approvato con decreto sindacale n. 1 del 3 gennaio 2019</w:t>
      </w:r>
      <w:r w:rsidR="00A87547">
        <w:rPr>
          <w:rFonts w:eastAsia="CenturyGothic-OneByteIdentityH"/>
        </w:rPr>
        <w:t>,</w:t>
      </w:r>
      <w:r w:rsidR="00F656C2" w:rsidRPr="009439DA">
        <w:rPr>
          <w:rFonts w:eastAsia="CenturyGothic-OneByteIdentityH"/>
        </w:rPr>
        <w:t xml:space="preserve"> </w:t>
      </w:r>
      <w:r w:rsidR="00A87547">
        <w:rPr>
          <w:bCs/>
        </w:rPr>
        <w:t>da ultimo modificato con decreto sindacale n. 34 del 16 giugno 2022</w:t>
      </w:r>
      <w:r w:rsidR="00E1282B">
        <w:rPr>
          <w:bCs/>
        </w:rPr>
        <w:t>)</w:t>
      </w:r>
      <w:r w:rsidR="00A87547">
        <w:rPr>
          <w:bCs/>
        </w:rPr>
        <w:t>.</w:t>
      </w:r>
    </w:p>
    <w:p w:rsidR="00BA799A" w:rsidRPr="00BA799A" w:rsidRDefault="00BA799A" w:rsidP="005E20E7">
      <w:pPr>
        <w:autoSpaceDE w:val="0"/>
        <w:autoSpaceDN w:val="0"/>
        <w:adjustRightInd w:val="0"/>
        <w:spacing w:after="0" w:line="240" w:lineRule="auto"/>
        <w:jc w:val="both"/>
      </w:pPr>
      <w:r w:rsidRPr="009439DA">
        <w:t>Con decreto del sindaco metropolitano n. 100 del 9/12/2019 è stato approvato il nuovo sistema di misurazione e valutazione della performance (SMVP)</w:t>
      </w:r>
      <w:r w:rsidR="005E20E7">
        <w:t>, incentrato sulla valorizzazione del</w:t>
      </w:r>
      <w:r w:rsidRPr="00BA799A">
        <w:t>la performance organizzativa</w:t>
      </w:r>
      <w:r w:rsidR="005E20E7">
        <w:t xml:space="preserve">, al fine di permettere  il </w:t>
      </w:r>
      <w:r w:rsidRPr="00BA799A">
        <w:t xml:space="preserve">confronto con gli standard prestazionali fissati a livello nazionale e con quelli raggiunti dalle altre Città metropolitane, </w:t>
      </w:r>
      <w:r w:rsidR="005E20E7">
        <w:t>e rendere possibile</w:t>
      </w:r>
      <w:r w:rsidRPr="00BA799A">
        <w:t xml:space="preserve"> l’applicazione di tecniche di benchmarking, e stimola l’attività di programmazione a supporto della</w:t>
      </w:r>
      <w:r w:rsidR="005E20E7">
        <w:t xml:space="preserve"> vision degli organi di governo.</w:t>
      </w:r>
    </w:p>
    <w:p w:rsidR="00BA799A" w:rsidRPr="00BA799A" w:rsidRDefault="00BA799A" w:rsidP="00BA799A">
      <w:pPr>
        <w:pStyle w:val="Paragrafoelenco"/>
        <w:ind w:left="1068"/>
        <w:jc w:val="both"/>
        <w:rPr>
          <w:rFonts w:ascii="Calibri" w:hAnsi="Calibri"/>
          <w:sz w:val="22"/>
          <w:szCs w:val="22"/>
        </w:rPr>
      </w:pPr>
    </w:p>
    <w:p w:rsidR="00BA799A" w:rsidRPr="005E20E7" w:rsidRDefault="005E20E7" w:rsidP="005E20E7">
      <w:pPr>
        <w:jc w:val="both"/>
      </w:pPr>
      <w:r>
        <w:t xml:space="preserve">E’ stato collegato </w:t>
      </w:r>
      <w:r w:rsidR="00BA799A" w:rsidRPr="005E20E7">
        <w:t xml:space="preserve">in modo progressivo, a seconda del livello di responsabilità, il sistema incentivante al conseguimento degli obiettivi dell’Ente, distinguendo una premialità connessa alla performance </w:t>
      </w:r>
      <w:r w:rsidR="00BA799A" w:rsidRPr="005E20E7">
        <w:lastRenderedPageBreak/>
        <w:t>organizzativa ed una premialità connessa alla performance individuale; in tal modo, l’andamento dell’Ente non sarà più una variabile indipendente rispetto alla r</w:t>
      </w:r>
      <w:r>
        <w:t>emunerazione del fattore lavoro.</w:t>
      </w:r>
    </w:p>
    <w:p w:rsidR="005E20E7" w:rsidRDefault="005E20E7" w:rsidP="005E20E7">
      <w:pPr>
        <w:jc w:val="both"/>
      </w:pPr>
      <w:r w:rsidRPr="00FD4E29">
        <w:t xml:space="preserve">La riconfigurazione del sistema della performance della Città metropolitana di Venezia è stata </w:t>
      </w:r>
      <w:r>
        <w:t>inoltre c</w:t>
      </w:r>
      <w:r w:rsidRPr="00FD4E29">
        <w:t>aratterizzata dalle seguenti finalità:</w:t>
      </w:r>
    </w:p>
    <w:p w:rsidR="00BA799A" w:rsidRPr="00BA799A" w:rsidRDefault="00BA799A" w:rsidP="00210242">
      <w:pPr>
        <w:pStyle w:val="Paragrafoelenco"/>
        <w:numPr>
          <w:ilvl w:val="0"/>
          <w:numId w:val="9"/>
        </w:numPr>
        <w:jc w:val="both"/>
        <w:rPr>
          <w:rFonts w:ascii="Calibri" w:hAnsi="Calibri"/>
          <w:sz w:val="22"/>
          <w:szCs w:val="22"/>
        </w:rPr>
      </w:pPr>
      <w:r w:rsidRPr="00BA799A">
        <w:rPr>
          <w:rFonts w:ascii="Calibri" w:hAnsi="Calibri"/>
          <w:sz w:val="22"/>
          <w:szCs w:val="22"/>
        </w:rPr>
        <w:t>strutturare i diversi livelli degli obiettivi (pluriennali-strategici - generali e/o specifici, pluriennali operativi ed annuali-gestionali (progetti e processi) in modo interdipendente, di modo che i vari livelli di responsabilità (in capo agli amministratori, agli organi amministrativi di vertice, ai dirigenti ed agli altri dipendenti) siano legati da finalità comuni e quindi si rafforzi il “lavoro di squadra” e si innestino circoli virtuosi;</w:t>
      </w:r>
    </w:p>
    <w:p w:rsidR="00BA799A" w:rsidRPr="00BA799A" w:rsidRDefault="00BA799A" w:rsidP="00BA799A">
      <w:pPr>
        <w:pStyle w:val="Paragrafoelenco"/>
        <w:rPr>
          <w:rFonts w:ascii="Calibri" w:hAnsi="Calibri"/>
          <w:sz w:val="22"/>
          <w:szCs w:val="22"/>
        </w:rPr>
      </w:pPr>
    </w:p>
    <w:p w:rsidR="00BA799A" w:rsidRPr="00BA799A" w:rsidRDefault="00BA799A" w:rsidP="00210242">
      <w:pPr>
        <w:pStyle w:val="Paragrafoelenco"/>
        <w:numPr>
          <w:ilvl w:val="0"/>
          <w:numId w:val="9"/>
        </w:numPr>
        <w:jc w:val="both"/>
        <w:rPr>
          <w:rFonts w:ascii="Calibri" w:hAnsi="Calibri"/>
          <w:sz w:val="22"/>
          <w:szCs w:val="22"/>
        </w:rPr>
      </w:pPr>
      <w:r w:rsidRPr="00BA799A">
        <w:rPr>
          <w:rFonts w:ascii="Calibri" w:hAnsi="Calibri"/>
          <w:sz w:val="22"/>
          <w:szCs w:val="22"/>
        </w:rPr>
        <w:t>assicurare il collegamento del sistema della performance con i principali altri strumenti di programmazione della Città metropolitana di Venezia;</w:t>
      </w:r>
    </w:p>
    <w:p w:rsidR="00BA799A" w:rsidRPr="00BA799A" w:rsidRDefault="00BA799A" w:rsidP="00BA799A">
      <w:pPr>
        <w:pStyle w:val="Paragrafoelenco"/>
        <w:rPr>
          <w:rFonts w:ascii="Calibri" w:hAnsi="Calibri"/>
          <w:sz w:val="22"/>
          <w:szCs w:val="22"/>
        </w:rPr>
      </w:pPr>
    </w:p>
    <w:p w:rsidR="00BA799A" w:rsidRPr="00BA799A" w:rsidRDefault="00BA799A" w:rsidP="00210242">
      <w:pPr>
        <w:pStyle w:val="Paragrafoelenco"/>
        <w:numPr>
          <w:ilvl w:val="0"/>
          <w:numId w:val="9"/>
        </w:numPr>
        <w:jc w:val="both"/>
        <w:rPr>
          <w:rFonts w:ascii="Calibri" w:hAnsi="Calibri"/>
          <w:sz w:val="22"/>
          <w:szCs w:val="22"/>
        </w:rPr>
      </w:pPr>
      <w:r w:rsidRPr="00BA799A">
        <w:rPr>
          <w:rFonts w:ascii="Calibri" w:hAnsi="Calibri"/>
          <w:sz w:val="22"/>
          <w:szCs w:val="22"/>
        </w:rPr>
        <w:t>valorizzare la strategicità, assicurando agli organi di indirizzo e controllo la possibilità di orientare il funzionamento della struttura amministrativa al raggiungimento dei risultati definiti in sede di programmazione della propria azione di governo (vedi linee di mandato, Piano Strategico e DUP);</w:t>
      </w:r>
    </w:p>
    <w:p w:rsidR="00BA799A" w:rsidRPr="00BA799A" w:rsidRDefault="00BA799A" w:rsidP="00BA799A">
      <w:pPr>
        <w:pStyle w:val="Paragrafoelenco"/>
        <w:rPr>
          <w:rFonts w:ascii="Calibri" w:hAnsi="Calibri"/>
          <w:sz w:val="22"/>
          <w:szCs w:val="22"/>
        </w:rPr>
      </w:pPr>
    </w:p>
    <w:p w:rsidR="00BA799A" w:rsidRPr="00BA799A" w:rsidRDefault="00BA799A" w:rsidP="00210242">
      <w:pPr>
        <w:pStyle w:val="Paragrafoelenco"/>
        <w:numPr>
          <w:ilvl w:val="0"/>
          <w:numId w:val="9"/>
        </w:numPr>
        <w:jc w:val="both"/>
        <w:rPr>
          <w:rFonts w:ascii="Calibri" w:hAnsi="Calibri"/>
          <w:sz w:val="22"/>
          <w:szCs w:val="22"/>
        </w:rPr>
      </w:pPr>
      <w:r w:rsidRPr="00BA799A">
        <w:rPr>
          <w:rFonts w:ascii="Calibri" w:hAnsi="Calibri"/>
          <w:sz w:val="22"/>
          <w:szCs w:val="22"/>
        </w:rPr>
        <w:t>rendere il sistema, attraverso meccanismi distributivi fondati su coefficienti annualmente regolabili, estremamente flessibile ed adattabile ai vari contesti e alle possibili congiunture;</w:t>
      </w:r>
    </w:p>
    <w:p w:rsidR="00BA799A" w:rsidRPr="00BA799A" w:rsidRDefault="00BA799A" w:rsidP="00BA799A">
      <w:pPr>
        <w:pStyle w:val="Paragrafoelenco"/>
        <w:ind w:left="1068"/>
        <w:jc w:val="both"/>
        <w:rPr>
          <w:rFonts w:ascii="Calibri" w:hAnsi="Calibri"/>
          <w:sz w:val="22"/>
          <w:szCs w:val="22"/>
        </w:rPr>
      </w:pPr>
    </w:p>
    <w:p w:rsidR="00BA799A" w:rsidRPr="00BA799A" w:rsidRDefault="00BA799A" w:rsidP="00210242">
      <w:pPr>
        <w:pStyle w:val="Paragrafoelenco"/>
        <w:numPr>
          <w:ilvl w:val="0"/>
          <w:numId w:val="9"/>
        </w:numPr>
        <w:jc w:val="both"/>
        <w:rPr>
          <w:rFonts w:ascii="Calibri" w:hAnsi="Calibri"/>
          <w:sz w:val="22"/>
          <w:szCs w:val="22"/>
        </w:rPr>
      </w:pPr>
      <w:r w:rsidRPr="00BA799A">
        <w:rPr>
          <w:rFonts w:ascii="Calibri" w:hAnsi="Calibri"/>
          <w:sz w:val="22"/>
          <w:szCs w:val="22"/>
        </w:rPr>
        <w:t>prevedere, in luogo della distribuzione forzata di cui al d.lgs. n. 150/2009, l’applicazione del sistema di valorizzazione delle eccellenze previsto dall’art. 69 del nuovo CCNL attraverso la premialità connessa alla performance individuale, con l’introduzione di parametri comportamentali atti ad orientare la dirigenza alla prevista differenziazione;</w:t>
      </w:r>
    </w:p>
    <w:p w:rsidR="00BA799A" w:rsidRPr="00BA799A" w:rsidRDefault="00BA799A" w:rsidP="00BA799A">
      <w:pPr>
        <w:pStyle w:val="Paragrafoelenco"/>
        <w:rPr>
          <w:rFonts w:ascii="Calibri" w:hAnsi="Calibri"/>
          <w:sz w:val="22"/>
          <w:szCs w:val="22"/>
        </w:rPr>
      </w:pPr>
    </w:p>
    <w:p w:rsidR="00BA799A" w:rsidRPr="00BA799A" w:rsidRDefault="00BA799A" w:rsidP="00210242">
      <w:pPr>
        <w:pStyle w:val="Paragrafoelenco"/>
        <w:numPr>
          <w:ilvl w:val="0"/>
          <w:numId w:val="9"/>
        </w:numPr>
        <w:jc w:val="both"/>
        <w:rPr>
          <w:rFonts w:ascii="Calibri" w:hAnsi="Calibri"/>
          <w:sz w:val="22"/>
          <w:szCs w:val="22"/>
        </w:rPr>
      </w:pPr>
      <w:r w:rsidRPr="00BA799A">
        <w:rPr>
          <w:rFonts w:ascii="Calibri" w:hAnsi="Calibri"/>
          <w:sz w:val="22"/>
          <w:szCs w:val="22"/>
        </w:rPr>
        <w:t>ridurre, attraverso l’introduzione di poche fasce distributive della performance individuale, il rischio di disomogeneità valutative a seconda del possibile diverso stile direzionale dei dirigenti di riferimento, evitando possibili sperequazioni nell’applicazione di altri istituti contrattuali, quali quelli disciplinanti le progressioni di carriera.</w:t>
      </w:r>
    </w:p>
    <w:p w:rsidR="00BA799A" w:rsidRPr="00BA799A" w:rsidRDefault="00BA799A" w:rsidP="008250AC">
      <w:pPr>
        <w:autoSpaceDE w:val="0"/>
        <w:autoSpaceDN w:val="0"/>
        <w:adjustRightInd w:val="0"/>
        <w:spacing w:after="0" w:line="240" w:lineRule="auto"/>
        <w:jc w:val="both"/>
        <w:rPr>
          <w:rFonts w:eastAsia="CenturyGothic-OneByteIdentityH"/>
        </w:rPr>
      </w:pPr>
    </w:p>
    <w:p w:rsidR="004A7E94" w:rsidRPr="001733FE" w:rsidRDefault="004A7E94" w:rsidP="008250AC">
      <w:pPr>
        <w:autoSpaceDE w:val="0"/>
        <w:autoSpaceDN w:val="0"/>
        <w:adjustRightInd w:val="0"/>
        <w:spacing w:after="0" w:line="240" w:lineRule="auto"/>
        <w:jc w:val="both"/>
        <w:rPr>
          <w:b/>
          <w:bCs/>
          <w:lang w:eastAsia="it-IT"/>
        </w:rPr>
      </w:pPr>
    </w:p>
    <w:p w:rsidR="00857C43" w:rsidRPr="001733FE" w:rsidRDefault="004A7E94" w:rsidP="00857C43">
      <w:pPr>
        <w:autoSpaceDE w:val="0"/>
        <w:autoSpaceDN w:val="0"/>
        <w:adjustRightInd w:val="0"/>
        <w:spacing w:after="0" w:line="240" w:lineRule="auto"/>
        <w:rPr>
          <w:b/>
          <w:bCs/>
          <w:lang w:eastAsia="it-IT"/>
        </w:rPr>
      </w:pPr>
      <w:r w:rsidRPr="001733FE">
        <w:rPr>
          <w:b/>
          <w:bCs/>
          <w:lang w:eastAsia="it-IT"/>
        </w:rPr>
        <w:t>2.2</w:t>
      </w:r>
      <w:r w:rsidR="00857C43" w:rsidRPr="001733FE">
        <w:rPr>
          <w:b/>
          <w:bCs/>
          <w:lang w:eastAsia="it-IT"/>
        </w:rPr>
        <w:t>._ Rappresentazione della performance</w:t>
      </w:r>
    </w:p>
    <w:p w:rsidR="00857C43" w:rsidRPr="001733FE" w:rsidRDefault="00857C43" w:rsidP="00857C43">
      <w:pPr>
        <w:autoSpaceDE w:val="0"/>
        <w:autoSpaceDN w:val="0"/>
        <w:adjustRightInd w:val="0"/>
        <w:spacing w:after="0" w:line="240" w:lineRule="auto"/>
        <w:rPr>
          <w:rFonts w:ascii="Times New Roman" w:hAnsi="Times New Roman"/>
          <w:b/>
          <w:bCs/>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89"/>
        <w:gridCol w:w="4889"/>
      </w:tblGrid>
      <w:tr w:rsidR="00857C43" w:rsidRPr="001733FE" w:rsidTr="00E74287">
        <w:tc>
          <w:tcPr>
            <w:tcW w:w="4889" w:type="dxa"/>
          </w:tcPr>
          <w:p w:rsidR="00857C43" w:rsidRPr="001733FE" w:rsidRDefault="00857C43" w:rsidP="00857C43">
            <w:r w:rsidRPr="001733FE">
              <w:rPr>
                <w:b/>
                <w:bCs/>
                <w:lang w:eastAsia="it-IT"/>
              </w:rPr>
              <w:t xml:space="preserve">Aspetti monitorati </w:t>
            </w:r>
          </w:p>
        </w:tc>
        <w:tc>
          <w:tcPr>
            <w:tcW w:w="4889" w:type="dxa"/>
          </w:tcPr>
          <w:p w:rsidR="00857C43" w:rsidRPr="001733FE" w:rsidRDefault="00857C43" w:rsidP="00E45B84">
            <w:r w:rsidRPr="001733FE">
              <w:rPr>
                <w:b/>
                <w:bCs/>
                <w:lang w:eastAsia="it-IT"/>
              </w:rPr>
              <w:t>Esiti delle verifiche effettuate</w:t>
            </w:r>
          </w:p>
        </w:tc>
      </w:tr>
      <w:tr w:rsidR="00523F3F" w:rsidRPr="001733FE" w:rsidTr="00E74287">
        <w:tc>
          <w:tcPr>
            <w:tcW w:w="4889" w:type="dxa"/>
          </w:tcPr>
          <w:p w:rsidR="00523F3F" w:rsidRPr="001733FE" w:rsidRDefault="00523F3F" w:rsidP="00E74287">
            <w:pPr>
              <w:autoSpaceDE w:val="0"/>
              <w:autoSpaceDN w:val="0"/>
              <w:adjustRightInd w:val="0"/>
              <w:spacing w:after="0" w:line="240" w:lineRule="auto"/>
              <w:rPr>
                <w:i/>
                <w:iCs/>
                <w:lang w:eastAsia="it-IT"/>
              </w:rPr>
            </w:pPr>
            <w:r w:rsidRPr="001733FE">
              <w:rPr>
                <w:i/>
                <w:iCs/>
                <w:lang w:eastAsia="it-IT"/>
              </w:rPr>
              <w:t>Verifica dei criteri di:</w:t>
            </w:r>
          </w:p>
          <w:p w:rsidR="00523F3F" w:rsidRPr="001733FE" w:rsidRDefault="00523F3F" w:rsidP="00E74287">
            <w:pPr>
              <w:numPr>
                <w:ilvl w:val="0"/>
                <w:numId w:val="1"/>
              </w:numPr>
              <w:autoSpaceDE w:val="0"/>
              <w:autoSpaceDN w:val="0"/>
              <w:adjustRightInd w:val="0"/>
              <w:spacing w:after="0" w:line="240" w:lineRule="auto"/>
              <w:rPr>
                <w:i/>
                <w:iCs/>
                <w:lang w:eastAsia="it-IT"/>
              </w:rPr>
            </w:pPr>
            <w:r w:rsidRPr="001733FE">
              <w:rPr>
                <w:i/>
                <w:iCs/>
                <w:lang w:eastAsia="it-IT"/>
              </w:rPr>
              <w:t>definizione degli obiettivi;</w:t>
            </w:r>
          </w:p>
          <w:p w:rsidR="00523F3F" w:rsidRPr="001733FE" w:rsidRDefault="00523F3F" w:rsidP="00E74287">
            <w:pPr>
              <w:numPr>
                <w:ilvl w:val="0"/>
                <w:numId w:val="1"/>
              </w:numPr>
              <w:autoSpaceDE w:val="0"/>
              <w:autoSpaceDN w:val="0"/>
              <w:adjustRightInd w:val="0"/>
              <w:spacing w:after="0" w:line="240" w:lineRule="auto"/>
              <w:rPr>
                <w:i/>
                <w:iCs/>
                <w:lang w:eastAsia="it-IT"/>
              </w:rPr>
            </w:pPr>
            <w:r w:rsidRPr="001733FE">
              <w:rPr>
                <w:i/>
                <w:iCs/>
                <w:lang w:eastAsia="it-IT"/>
              </w:rPr>
              <w:t>legame tra obiettivi, indicatori e target;</w:t>
            </w:r>
          </w:p>
          <w:p w:rsidR="00523F3F" w:rsidRPr="001733FE" w:rsidRDefault="00523F3F" w:rsidP="00E74287">
            <w:pPr>
              <w:numPr>
                <w:ilvl w:val="0"/>
                <w:numId w:val="1"/>
              </w:numPr>
              <w:autoSpaceDE w:val="0"/>
              <w:autoSpaceDN w:val="0"/>
              <w:adjustRightInd w:val="0"/>
              <w:spacing w:after="0" w:line="240" w:lineRule="auto"/>
              <w:rPr>
                <w:i/>
                <w:iCs/>
                <w:lang w:eastAsia="it-IT"/>
              </w:rPr>
            </w:pPr>
            <w:r w:rsidRPr="001733FE">
              <w:rPr>
                <w:i/>
                <w:iCs/>
                <w:lang w:eastAsia="it-IT"/>
              </w:rPr>
              <w:t>rilevazione effettiva della performance</w:t>
            </w:r>
          </w:p>
          <w:p w:rsidR="00523F3F" w:rsidRPr="001733FE" w:rsidRDefault="00523F3F" w:rsidP="00E74287">
            <w:pPr>
              <w:autoSpaceDE w:val="0"/>
              <w:autoSpaceDN w:val="0"/>
              <w:adjustRightInd w:val="0"/>
              <w:spacing w:after="0" w:line="240" w:lineRule="auto"/>
            </w:pPr>
            <w:r w:rsidRPr="001733FE">
              <w:rPr>
                <w:i/>
                <w:iCs/>
                <w:lang w:eastAsia="it-IT"/>
              </w:rPr>
              <w:t>secondo le indicazioni fornite nei report</w:t>
            </w:r>
          </w:p>
        </w:tc>
        <w:tc>
          <w:tcPr>
            <w:tcW w:w="4889" w:type="dxa"/>
          </w:tcPr>
          <w:p w:rsidR="005A4F27" w:rsidRDefault="00523F3F" w:rsidP="00687D32">
            <w:pPr>
              <w:autoSpaceDE w:val="0"/>
              <w:autoSpaceDN w:val="0"/>
              <w:adjustRightInd w:val="0"/>
              <w:spacing w:after="0" w:line="240" w:lineRule="auto"/>
              <w:jc w:val="both"/>
              <w:rPr>
                <w:rFonts w:eastAsia="CenturyGothic-OneByteIdentityH"/>
                <w:color w:val="000000"/>
                <w:lang w:eastAsia="it-IT"/>
              </w:rPr>
            </w:pPr>
            <w:r w:rsidRPr="001733FE">
              <w:rPr>
                <w:rFonts w:eastAsia="CenturyGothic-OneByteIdentityH"/>
                <w:color w:val="000000"/>
                <w:lang w:eastAsia="it-IT"/>
              </w:rPr>
              <w:t>Gli obiettivi sono rappresentati in modo chiaro</w:t>
            </w:r>
            <w:r w:rsidR="00897812">
              <w:rPr>
                <w:rFonts w:eastAsia="CenturyGothic-OneByteIdentityH"/>
                <w:color w:val="000000"/>
                <w:lang w:eastAsia="it-IT"/>
              </w:rPr>
              <w:t>.</w:t>
            </w:r>
          </w:p>
          <w:p w:rsidR="00687D32" w:rsidRPr="009439DA" w:rsidRDefault="00523F3F" w:rsidP="00687D32">
            <w:pPr>
              <w:autoSpaceDE w:val="0"/>
              <w:autoSpaceDN w:val="0"/>
              <w:adjustRightInd w:val="0"/>
              <w:spacing w:after="0" w:line="240" w:lineRule="auto"/>
              <w:jc w:val="both"/>
              <w:rPr>
                <w:rFonts w:eastAsia="CenturyGothic-OneByteIdentityH"/>
                <w:lang w:eastAsia="it-IT"/>
              </w:rPr>
            </w:pPr>
            <w:r w:rsidRPr="001733FE">
              <w:rPr>
                <w:rFonts w:eastAsia="CenturyGothic-OneByteIdentityH"/>
                <w:lang w:eastAsia="it-IT"/>
              </w:rPr>
              <w:t>Il raccordo tra obiettivi, indicatori</w:t>
            </w:r>
            <w:r w:rsidR="00F656C2" w:rsidRPr="001733FE">
              <w:rPr>
                <w:rFonts w:eastAsia="CenturyGothic-OneByteIdentityH"/>
                <w:lang w:eastAsia="it-IT"/>
              </w:rPr>
              <w:t xml:space="preserve"> </w:t>
            </w:r>
            <w:r w:rsidRPr="001733FE">
              <w:rPr>
                <w:rFonts w:eastAsia="CenturyGothic-OneByteIdentityH"/>
                <w:lang w:eastAsia="it-IT"/>
              </w:rPr>
              <w:t>e target è garantito da</w:t>
            </w:r>
            <w:r w:rsidR="00687D32" w:rsidRPr="001733FE">
              <w:rPr>
                <w:rFonts w:eastAsia="CenturyGothic-OneByteIdentityH"/>
                <w:lang w:eastAsia="it-IT"/>
              </w:rPr>
              <w:t>l</w:t>
            </w:r>
            <w:r w:rsidR="00AC4DBB" w:rsidRPr="001733FE">
              <w:rPr>
                <w:rFonts w:eastAsia="CenturyGothic-OneByteIdentityH"/>
                <w:lang w:eastAsia="it-IT"/>
              </w:rPr>
              <w:t xml:space="preserve"> sistema di controllo di gestione presso la </w:t>
            </w:r>
            <w:r w:rsidR="00AC4DBB" w:rsidRPr="009439DA">
              <w:rPr>
                <w:rFonts w:eastAsia="CenturyGothic-OneByteIdentityH"/>
                <w:lang w:eastAsia="it-IT"/>
              </w:rPr>
              <w:t>Direzione generale.</w:t>
            </w:r>
          </w:p>
          <w:p w:rsidR="00523F3F" w:rsidRPr="009439DA" w:rsidRDefault="00523F3F" w:rsidP="00687D32">
            <w:pPr>
              <w:autoSpaceDE w:val="0"/>
              <w:autoSpaceDN w:val="0"/>
              <w:adjustRightInd w:val="0"/>
              <w:spacing w:after="0" w:line="240" w:lineRule="auto"/>
              <w:jc w:val="both"/>
              <w:rPr>
                <w:rFonts w:eastAsia="CenturyGothic-OneByteIdentityH"/>
                <w:lang w:eastAsia="it-IT"/>
              </w:rPr>
            </w:pPr>
            <w:r w:rsidRPr="009439DA">
              <w:rPr>
                <w:rFonts w:eastAsia="CenturyGothic-OneByteIdentityH"/>
                <w:lang w:eastAsia="it-IT"/>
              </w:rPr>
              <w:t xml:space="preserve">La maggior parte degli </w:t>
            </w:r>
            <w:r w:rsidR="001F7B39" w:rsidRPr="009439DA">
              <w:rPr>
                <w:rFonts w:eastAsia="CenturyGothic-OneByteIdentityH"/>
                <w:lang w:eastAsia="it-IT"/>
              </w:rPr>
              <w:t>obiettivi è supportata</w:t>
            </w:r>
            <w:r w:rsidR="00AC4DBB" w:rsidRPr="009439DA">
              <w:rPr>
                <w:rFonts w:eastAsia="CenturyGothic-OneByteIdentityH"/>
                <w:lang w:eastAsia="it-IT"/>
              </w:rPr>
              <w:t xml:space="preserve"> da </w:t>
            </w:r>
            <w:r w:rsidRPr="009439DA">
              <w:rPr>
                <w:rFonts w:eastAsia="CenturyGothic-OneByteIdentityH"/>
                <w:lang w:eastAsia="it-IT"/>
              </w:rPr>
              <w:t>indicatori di risultato</w:t>
            </w:r>
            <w:r w:rsidR="0086287B" w:rsidRPr="009439DA">
              <w:rPr>
                <w:rFonts w:eastAsia="CenturyGothic-OneByteIdentityH"/>
                <w:lang w:eastAsia="it-IT"/>
              </w:rPr>
              <w:t>, che costituiscono un quadro piuttosto articolato anche se in termini di misurabilità vi sono aree di miglioramento.</w:t>
            </w:r>
          </w:p>
          <w:p w:rsidR="00523F3F" w:rsidRPr="001733FE" w:rsidRDefault="001F7B39" w:rsidP="00687D32">
            <w:pPr>
              <w:autoSpaceDE w:val="0"/>
              <w:autoSpaceDN w:val="0"/>
              <w:adjustRightInd w:val="0"/>
              <w:spacing w:after="0" w:line="240" w:lineRule="auto"/>
              <w:jc w:val="both"/>
              <w:rPr>
                <w:rFonts w:eastAsia="CenturyGothic-OneByteIdentityH"/>
                <w:lang w:eastAsia="it-IT"/>
              </w:rPr>
            </w:pPr>
            <w:r w:rsidRPr="001733FE">
              <w:rPr>
                <w:rFonts w:eastAsia="CenturyGothic-OneByteIdentityH"/>
                <w:lang w:eastAsia="it-IT"/>
              </w:rPr>
              <w:t>G</w:t>
            </w:r>
            <w:r w:rsidR="00523F3F" w:rsidRPr="001733FE">
              <w:rPr>
                <w:rFonts w:eastAsia="CenturyGothic-OneByteIdentityH"/>
                <w:lang w:eastAsia="it-IT"/>
              </w:rPr>
              <w:t>li indicatori vengono valorizzati direttamente dai singoli servizi</w:t>
            </w:r>
            <w:r w:rsidRPr="001733FE">
              <w:rPr>
                <w:rFonts w:eastAsia="CenturyGothic-OneByteIdentityH"/>
                <w:lang w:eastAsia="it-IT"/>
              </w:rPr>
              <w:t xml:space="preserve"> assegnatari degli obiettivi</w:t>
            </w:r>
            <w:r w:rsidR="00523F3F" w:rsidRPr="001733FE">
              <w:rPr>
                <w:rFonts w:eastAsia="CenturyGothic-OneByteIdentityH"/>
                <w:lang w:eastAsia="it-IT"/>
              </w:rPr>
              <w:t xml:space="preserve">; il servizio Direzione Generale effettua </w:t>
            </w:r>
            <w:r w:rsidR="00F460E3" w:rsidRPr="001733FE">
              <w:rPr>
                <w:rFonts w:eastAsia="CenturyGothic-OneByteIdentityH"/>
                <w:lang w:eastAsia="it-IT"/>
              </w:rPr>
              <w:t xml:space="preserve">poi </w:t>
            </w:r>
            <w:r w:rsidR="00523F3F" w:rsidRPr="001733FE">
              <w:rPr>
                <w:rFonts w:eastAsia="CenturyGothic-OneByteIdentityH"/>
                <w:lang w:eastAsia="it-IT"/>
              </w:rPr>
              <w:t xml:space="preserve">la verifica sulla veridicità dei dati inseriti per tutti gli indicatori, sulla base della documentazione </w:t>
            </w:r>
            <w:r w:rsidR="00186E1D" w:rsidRPr="001733FE">
              <w:rPr>
                <w:rFonts w:eastAsia="CenturyGothic-OneByteIdentityH"/>
                <w:lang w:eastAsia="it-IT"/>
              </w:rPr>
              <w:t xml:space="preserve">pervenuta </w:t>
            </w:r>
            <w:r w:rsidRPr="001733FE">
              <w:rPr>
                <w:rFonts w:eastAsia="CenturyGothic-OneByteIdentityH"/>
                <w:lang w:eastAsia="it-IT"/>
              </w:rPr>
              <w:t xml:space="preserve">dai servizi </w:t>
            </w:r>
            <w:r w:rsidR="00186E1D" w:rsidRPr="001733FE">
              <w:rPr>
                <w:rFonts w:eastAsia="CenturyGothic-OneByteIdentityH"/>
                <w:lang w:eastAsia="it-IT"/>
              </w:rPr>
              <w:t>a titolo</w:t>
            </w:r>
            <w:r w:rsidR="00523F3F" w:rsidRPr="001733FE">
              <w:rPr>
                <w:rFonts w:eastAsia="CenturyGothic-OneByteIdentityH"/>
                <w:lang w:eastAsia="it-IT"/>
              </w:rPr>
              <w:t xml:space="preserve"> giustificativo.</w:t>
            </w:r>
          </w:p>
          <w:p w:rsidR="00523F3F" w:rsidRPr="001733FE" w:rsidRDefault="00523F3F" w:rsidP="001F7B39">
            <w:pPr>
              <w:autoSpaceDE w:val="0"/>
              <w:autoSpaceDN w:val="0"/>
              <w:adjustRightInd w:val="0"/>
              <w:spacing w:after="0" w:line="240" w:lineRule="auto"/>
              <w:jc w:val="both"/>
              <w:rPr>
                <w:rFonts w:eastAsia="CenturyGothic-OneByteIdentityH"/>
                <w:color w:val="FF0000"/>
                <w:lang w:eastAsia="it-IT"/>
              </w:rPr>
            </w:pPr>
          </w:p>
        </w:tc>
      </w:tr>
      <w:tr w:rsidR="00523F3F" w:rsidRPr="001733FE" w:rsidTr="00E74287">
        <w:tc>
          <w:tcPr>
            <w:tcW w:w="4889" w:type="dxa"/>
          </w:tcPr>
          <w:p w:rsidR="00523F3F" w:rsidRPr="001733FE" w:rsidRDefault="00523F3F" w:rsidP="00962990">
            <w:pPr>
              <w:autoSpaceDE w:val="0"/>
              <w:autoSpaceDN w:val="0"/>
              <w:adjustRightInd w:val="0"/>
              <w:spacing w:after="0" w:line="240" w:lineRule="auto"/>
            </w:pPr>
            <w:r w:rsidRPr="001733FE">
              <w:rPr>
                <w:i/>
                <w:iCs/>
                <w:lang w:eastAsia="it-IT"/>
              </w:rPr>
              <w:lastRenderedPageBreak/>
              <w:t>Verifica del grado di rispetto dei requisiti ex art.</w:t>
            </w:r>
            <w:r w:rsidR="00F460E3" w:rsidRPr="001733FE">
              <w:rPr>
                <w:i/>
                <w:iCs/>
                <w:lang w:eastAsia="it-IT"/>
              </w:rPr>
              <w:t xml:space="preserve"> </w:t>
            </w:r>
            <w:r w:rsidRPr="001733FE">
              <w:rPr>
                <w:i/>
                <w:iCs/>
                <w:lang w:eastAsia="it-IT"/>
              </w:rPr>
              <w:t>5, c. 2</w:t>
            </w:r>
            <w:r w:rsidR="001F7B39" w:rsidRPr="001733FE">
              <w:rPr>
                <w:i/>
                <w:iCs/>
                <w:lang w:eastAsia="it-IT"/>
              </w:rPr>
              <w:t>,</w:t>
            </w:r>
            <w:r w:rsidRPr="001733FE">
              <w:rPr>
                <w:i/>
                <w:iCs/>
                <w:lang w:eastAsia="it-IT"/>
              </w:rPr>
              <w:t xml:space="preserve"> del D. Lgs. 150/09 sugli obiettivi del piano</w:t>
            </w:r>
            <w:r w:rsidR="00962990" w:rsidRPr="001733FE">
              <w:rPr>
                <w:i/>
                <w:iCs/>
                <w:lang w:eastAsia="it-IT"/>
              </w:rPr>
              <w:t xml:space="preserve"> </w:t>
            </w:r>
            <w:r w:rsidRPr="001733FE">
              <w:rPr>
                <w:i/>
                <w:iCs/>
                <w:lang w:eastAsia="it-IT"/>
              </w:rPr>
              <w:t>della performance</w:t>
            </w:r>
          </w:p>
        </w:tc>
        <w:tc>
          <w:tcPr>
            <w:tcW w:w="4889" w:type="dxa"/>
          </w:tcPr>
          <w:p w:rsidR="00523F3F" w:rsidRPr="001733FE" w:rsidRDefault="00523F3F" w:rsidP="00E74287">
            <w:pPr>
              <w:autoSpaceDE w:val="0"/>
              <w:autoSpaceDN w:val="0"/>
              <w:adjustRightInd w:val="0"/>
              <w:spacing w:after="0" w:line="240" w:lineRule="auto"/>
              <w:jc w:val="both"/>
              <w:rPr>
                <w:rFonts w:eastAsia="CenturyGothic-OneByteIdentityH"/>
                <w:lang w:eastAsia="it-IT"/>
              </w:rPr>
            </w:pPr>
            <w:r w:rsidRPr="001733FE">
              <w:rPr>
                <w:rFonts w:eastAsia="CenturyGothic-OneByteIdentityH"/>
                <w:lang w:eastAsia="it-IT"/>
              </w:rPr>
              <w:t>L’istruttoria per la redazione del presente documento è stata effettuata sulla base della seguente documentazione:</w:t>
            </w:r>
          </w:p>
          <w:p w:rsidR="00523F3F" w:rsidRPr="001733FE" w:rsidRDefault="00523F3F" w:rsidP="00E74287">
            <w:pPr>
              <w:autoSpaceDE w:val="0"/>
              <w:autoSpaceDN w:val="0"/>
              <w:adjustRightInd w:val="0"/>
              <w:spacing w:after="0" w:line="240" w:lineRule="auto"/>
              <w:jc w:val="both"/>
              <w:rPr>
                <w:rFonts w:eastAsia="CenturyGothic-OneByteIdentityH"/>
                <w:lang w:eastAsia="it-IT"/>
              </w:rPr>
            </w:pPr>
          </w:p>
          <w:p w:rsidR="00763783" w:rsidRDefault="00763783" w:rsidP="00E74287">
            <w:pPr>
              <w:autoSpaceDE w:val="0"/>
              <w:autoSpaceDN w:val="0"/>
              <w:adjustRightInd w:val="0"/>
              <w:spacing w:after="0" w:line="240" w:lineRule="auto"/>
              <w:jc w:val="both"/>
              <w:rPr>
                <w:rFonts w:eastAsia="CenturyGothic-OneByteIdentityH"/>
                <w:lang w:eastAsia="it-IT"/>
              </w:rPr>
            </w:pPr>
          </w:p>
          <w:p w:rsidR="00763783" w:rsidRDefault="00763783" w:rsidP="00763783">
            <w:pPr>
              <w:autoSpaceDE w:val="0"/>
              <w:autoSpaceDN w:val="0"/>
              <w:adjustRightInd w:val="0"/>
              <w:spacing w:after="0" w:line="240" w:lineRule="auto"/>
              <w:jc w:val="both"/>
              <w:rPr>
                <w:rFonts w:eastAsia="CenturyGothic-OneByteIdentityH"/>
                <w:lang w:eastAsia="it-IT"/>
              </w:rPr>
            </w:pPr>
            <w:r w:rsidRPr="00763783">
              <w:rPr>
                <w:rFonts w:eastAsia="CenturyGothic-OneByteIdentityH"/>
                <w:lang w:eastAsia="it-IT"/>
              </w:rPr>
              <w:t>- Documento unico di programmazione (DUP) 202</w:t>
            </w:r>
            <w:r w:rsidR="008C3A32">
              <w:rPr>
                <w:rFonts w:eastAsia="CenturyGothic-OneByteIdentityH"/>
                <w:lang w:eastAsia="it-IT"/>
              </w:rPr>
              <w:t>2</w:t>
            </w:r>
            <w:r w:rsidRPr="00763783">
              <w:rPr>
                <w:rFonts w:eastAsia="CenturyGothic-OneByteIdentityH"/>
                <w:lang w:eastAsia="it-IT"/>
              </w:rPr>
              <w:t>-202</w:t>
            </w:r>
            <w:r w:rsidR="008C3A32">
              <w:rPr>
                <w:rFonts w:eastAsia="CenturyGothic-OneByteIdentityH"/>
                <w:lang w:eastAsia="it-IT"/>
              </w:rPr>
              <w:t>4</w:t>
            </w:r>
            <w:r w:rsidRPr="00763783">
              <w:rPr>
                <w:rFonts w:eastAsia="CenturyGothic-OneByteIdentityH"/>
                <w:lang w:eastAsia="it-IT"/>
              </w:rPr>
              <w:t xml:space="preserve">, e bilancio di previsione </w:t>
            </w:r>
            <w:r w:rsidR="008C3A32" w:rsidRPr="00763783">
              <w:rPr>
                <w:rFonts w:eastAsia="CenturyGothic-OneByteIdentityH"/>
                <w:lang w:eastAsia="it-IT"/>
              </w:rPr>
              <w:t>202</w:t>
            </w:r>
            <w:r w:rsidR="008C3A32">
              <w:rPr>
                <w:rFonts w:eastAsia="CenturyGothic-OneByteIdentityH"/>
                <w:lang w:eastAsia="it-IT"/>
              </w:rPr>
              <w:t>2</w:t>
            </w:r>
            <w:r w:rsidR="008C3A32" w:rsidRPr="00763783">
              <w:rPr>
                <w:rFonts w:eastAsia="CenturyGothic-OneByteIdentityH"/>
                <w:lang w:eastAsia="it-IT"/>
              </w:rPr>
              <w:t>-202</w:t>
            </w:r>
            <w:r w:rsidR="008C3A32">
              <w:rPr>
                <w:rFonts w:eastAsia="CenturyGothic-OneByteIdentityH"/>
                <w:lang w:eastAsia="it-IT"/>
              </w:rPr>
              <w:t>4</w:t>
            </w:r>
            <w:r w:rsidR="008C3A32" w:rsidRPr="00763783">
              <w:rPr>
                <w:rFonts w:eastAsia="CenturyGothic-OneByteIdentityH"/>
                <w:lang w:eastAsia="it-IT"/>
              </w:rPr>
              <w:t>,</w:t>
            </w:r>
            <w:r w:rsidRPr="00763783">
              <w:rPr>
                <w:rFonts w:eastAsia="CenturyGothic-OneByteIdentityH"/>
                <w:lang w:eastAsia="it-IT"/>
              </w:rPr>
              <w:t xml:space="preserve">, licenziati dal Consiglio metropolitano con deliberazione </w:t>
            </w:r>
            <w:r w:rsidR="008C3A32" w:rsidRPr="008C3A32">
              <w:rPr>
                <w:rFonts w:eastAsia="CenturyGothic-OneByteIdentityH"/>
                <w:lang w:eastAsia="it-IT"/>
              </w:rPr>
              <w:t>n. 2 del 18/01/2022)</w:t>
            </w:r>
            <w:r w:rsidRPr="00763783">
              <w:rPr>
                <w:rFonts w:eastAsia="CenturyGothic-OneByteIdentityH"/>
                <w:lang w:eastAsia="it-IT"/>
              </w:rPr>
              <w:t>;</w:t>
            </w:r>
          </w:p>
          <w:p w:rsidR="00763783" w:rsidRPr="001733FE" w:rsidRDefault="00763783" w:rsidP="00E74287">
            <w:pPr>
              <w:autoSpaceDE w:val="0"/>
              <w:autoSpaceDN w:val="0"/>
              <w:adjustRightInd w:val="0"/>
              <w:spacing w:after="0" w:line="240" w:lineRule="auto"/>
              <w:jc w:val="both"/>
              <w:rPr>
                <w:rFonts w:eastAsia="CenturyGothic-OneByteIdentityH"/>
                <w:lang w:eastAsia="it-IT"/>
              </w:rPr>
            </w:pPr>
          </w:p>
          <w:p w:rsidR="00763783" w:rsidRDefault="00763783" w:rsidP="00763783">
            <w:pPr>
              <w:spacing w:line="240" w:lineRule="auto"/>
              <w:jc w:val="both"/>
              <w:rPr>
                <w:rFonts w:eastAsia="CenturyGothic-OneByteIdentityH"/>
                <w:lang w:eastAsia="it-IT"/>
              </w:rPr>
            </w:pPr>
            <w:r w:rsidRPr="00763783">
              <w:rPr>
                <w:rFonts w:eastAsia="CenturyGothic-OneByteIdentityH"/>
                <w:lang w:eastAsia="it-IT"/>
              </w:rPr>
              <w:t xml:space="preserve">- </w:t>
            </w:r>
            <w:r w:rsidR="008C3A32">
              <w:rPr>
                <w:rFonts w:eastAsia="CenturyGothic-OneByteIdentityH"/>
                <w:lang w:eastAsia="it-IT"/>
              </w:rPr>
              <w:t>PIAO</w:t>
            </w:r>
            <w:r w:rsidRPr="00763783">
              <w:rPr>
                <w:rFonts w:eastAsia="CenturyGothic-OneByteIdentityH"/>
                <w:lang w:eastAsia="it-IT"/>
              </w:rPr>
              <w:t xml:space="preserve"> </w:t>
            </w:r>
            <w:r w:rsidR="008C3A32" w:rsidRPr="00763783">
              <w:rPr>
                <w:rFonts w:eastAsia="CenturyGothic-OneByteIdentityH"/>
                <w:lang w:eastAsia="it-IT"/>
              </w:rPr>
              <w:t>202</w:t>
            </w:r>
            <w:r w:rsidR="008C3A32">
              <w:rPr>
                <w:rFonts w:eastAsia="CenturyGothic-OneByteIdentityH"/>
                <w:lang w:eastAsia="it-IT"/>
              </w:rPr>
              <w:t>2</w:t>
            </w:r>
            <w:r w:rsidR="008C3A32" w:rsidRPr="00763783">
              <w:rPr>
                <w:rFonts w:eastAsia="CenturyGothic-OneByteIdentityH"/>
                <w:lang w:eastAsia="it-IT"/>
              </w:rPr>
              <w:t>-202</w:t>
            </w:r>
            <w:r w:rsidR="008C3A32">
              <w:rPr>
                <w:rFonts w:eastAsia="CenturyGothic-OneByteIdentityH"/>
                <w:lang w:eastAsia="it-IT"/>
              </w:rPr>
              <w:t xml:space="preserve">4 </w:t>
            </w:r>
            <w:r w:rsidRPr="00763783">
              <w:rPr>
                <w:rFonts w:eastAsia="CenturyGothic-OneByteIdentityH"/>
                <w:lang w:eastAsia="it-IT"/>
              </w:rPr>
              <w:t xml:space="preserve">approvato con decreto del Sindaco metropolitano </w:t>
            </w:r>
            <w:r w:rsidR="008C3A32" w:rsidRPr="008C3A32">
              <w:rPr>
                <w:rFonts w:eastAsia="CenturyGothic-OneByteIdentityH"/>
                <w:lang w:eastAsia="it-IT"/>
              </w:rPr>
              <w:t>n.36/2022 del 29/06/2022, e successivamente aggiornato con decreto n.87/2022 del 22/12/2022</w:t>
            </w:r>
            <w:r w:rsidRPr="00763783">
              <w:rPr>
                <w:rFonts w:eastAsia="CenturyGothic-OneByteIdentityH"/>
                <w:lang w:eastAsia="it-IT"/>
              </w:rPr>
              <w:t xml:space="preserve">, sulla base del Documento unico di programmazione </w:t>
            </w:r>
            <w:r w:rsidR="008C3A32" w:rsidRPr="00763783">
              <w:rPr>
                <w:rFonts w:eastAsia="CenturyGothic-OneByteIdentityH"/>
                <w:lang w:eastAsia="it-IT"/>
              </w:rPr>
              <w:t>202</w:t>
            </w:r>
            <w:r w:rsidR="008C3A32">
              <w:rPr>
                <w:rFonts w:eastAsia="CenturyGothic-OneByteIdentityH"/>
                <w:lang w:eastAsia="it-IT"/>
              </w:rPr>
              <w:t>2</w:t>
            </w:r>
            <w:r w:rsidR="008C3A32" w:rsidRPr="00763783">
              <w:rPr>
                <w:rFonts w:eastAsia="CenturyGothic-OneByteIdentityH"/>
                <w:lang w:eastAsia="it-IT"/>
              </w:rPr>
              <w:t>-202</w:t>
            </w:r>
            <w:r w:rsidR="008C3A32">
              <w:rPr>
                <w:rFonts w:eastAsia="CenturyGothic-OneByteIdentityH"/>
                <w:lang w:eastAsia="it-IT"/>
              </w:rPr>
              <w:t>4</w:t>
            </w:r>
            <w:r w:rsidR="008C3A32" w:rsidRPr="00763783">
              <w:rPr>
                <w:rFonts w:eastAsia="CenturyGothic-OneByteIdentityH"/>
                <w:lang w:eastAsia="it-IT"/>
              </w:rPr>
              <w:t xml:space="preserve"> </w:t>
            </w:r>
            <w:r w:rsidRPr="00763783">
              <w:rPr>
                <w:rFonts w:eastAsia="CenturyGothic-OneByteIdentityH"/>
                <w:lang w:eastAsia="it-IT"/>
              </w:rPr>
              <w:t xml:space="preserve">(D.U.P.) e del bilancio di previsione </w:t>
            </w:r>
            <w:r w:rsidR="008C3A32" w:rsidRPr="00763783">
              <w:rPr>
                <w:rFonts w:eastAsia="CenturyGothic-OneByteIdentityH"/>
                <w:lang w:eastAsia="it-IT"/>
              </w:rPr>
              <w:t>202</w:t>
            </w:r>
            <w:r w:rsidR="008C3A32">
              <w:rPr>
                <w:rFonts w:eastAsia="CenturyGothic-OneByteIdentityH"/>
                <w:lang w:eastAsia="it-IT"/>
              </w:rPr>
              <w:t>2</w:t>
            </w:r>
            <w:r w:rsidR="008C3A32" w:rsidRPr="00763783">
              <w:rPr>
                <w:rFonts w:eastAsia="CenturyGothic-OneByteIdentityH"/>
                <w:lang w:eastAsia="it-IT"/>
              </w:rPr>
              <w:t>-202</w:t>
            </w:r>
            <w:r w:rsidR="008C3A32">
              <w:rPr>
                <w:rFonts w:eastAsia="CenturyGothic-OneByteIdentityH"/>
                <w:lang w:eastAsia="it-IT"/>
              </w:rPr>
              <w:t>4</w:t>
            </w:r>
            <w:r w:rsidRPr="00763783">
              <w:rPr>
                <w:rFonts w:eastAsia="CenturyGothic-OneByteIdentityH"/>
                <w:lang w:eastAsia="it-IT"/>
              </w:rPr>
              <w:t>;</w:t>
            </w:r>
          </w:p>
          <w:p w:rsidR="00763783" w:rsidRPr="001733FE" w:rsidRDefault="00763783" w:rsidP="00763783">
            <w:pPr>
              <w:spacing w:line="240" w:lineRule="auto"/>
              <w:jc w:val="both"/>
              <w:rPr>
                <w:rFonts w:eastAsia="CenturyGothic-OneByteIdentityH"/>
                <w:lang w:eastAsia="it-IT"/>
              </w:rPr>
            </w:pPr>
            <w:r w:rsidRPr="00940FD8">
              <w:rPr>
                <w:rFonts w:eastAsia="CenturyGothic-OneByteIdentityH"/>
                <w:lang w:eastAsia="it-IT"/>
              </w:rPr>
              <w:t>-  Stato di attuazione dei programmi – Relazione intermedia della performance 202</w:t>
            </w:r>
            <w:r w:rsidR="006410AF">
              <w:rPr>
                <w:rFonts w:eastAsia="CenturyGothic-OneByteIdentityH"/>
                <w:lang w:eastAsia="it-IT"/>
              </w:rPr>
              <w:t>2</w:t>
            </w:r>
            <w:r w:rsidRPr="00940FD8">
              <w:rPr>
                <w:rFonts w:eastAsia="CenturyGothic-OneByteIdentityH"/>
                <w:lang w:eastAsia="it-IT"/>
              </w:rPr>
              <w:t xml:space="preserve"> approvata con delibera del Consiglio metropolitano </w:t>
            </w:r>
            <w:r w:rsidR="006410AF">
              <w:rPr>
                <w:rFonts w:eastAsia="CenturyGothic-OneByteIdentityH"/>
                <w:lang w:eastAsia="it-IT"/>
              </w:rPr>
              <w:t xml:space="preserve">n. </w:t>
            </w:r>
            <w:r w:rsidR="006410AF" w:rsidRPr="008301BA">
              <w:t xml:space="preserve">14/2022 del 15/07/2022 </w:t>
            </w:r>
            <w:r w:rsidRPr="00940FD8">
              <w:rPr>
                <w:rFonts w:asciiTheme="minorHAnsi" w:hAnsiTheme="minorHAnsi"/>
              </w:rPr>
              <w:t xml:space="preserve">e variazioni al DUP </w:t>
            </w:r>
            <w:r w:rsidR="006410AF" w:rsidRPr="00763783">
              <w:rPr>
                <w:rFonts w:eastAsia="CenturyGothic-OneByteIdentityH"/>
                <w:lang w:eastAsia="it-IT"/>
              </w:rPr>
              <w:t>202</w:t>
            </w:r>
            <w:r w:rsidR="006410AF">
              <w:rPr>
                <w:rFonts w:eastAsia="CenturyGothic-OneByteIdentityH"/>
                <w:lang w:eastAsia="it-IT"/>
              </w:rPr>
              <w:t>2</w:t>
            </w:r>
            <w:r w:rsidR="006410AF" w:rsidRPr="00763783">
              <w:rPr>
                <w:rFonts w:eastAsia="CenturyGothic-OneByteIdentityH"/>
                <w:lang w:eastAsia="it-IT"/>
              </w:rPr>
              <w:t>-202</w:t>
            </w:r>
            <w:r w:rsidR="006410AF">
              <w:rPr>
                <w:rFonts w:eastAsia="CenturyGothic-OneByteIdentityH"/>
                <w:lang w:eastAsia="it-IT"/>
              </w:rPr>
              <w:t xml:space="preserve">4 </w:t>
            </w:r>
            <w:r w:rsidR="00940FD8" w:rsidRPr="00940FD8">
              <w:rPr>
                <w:rFonts w:asciiTheme="minorHAnsi" w:hAnsiTheme="minorHAnsi"/>
              </w:rPr>
              <w:t>approvate con delibere del Consiglio metropolitano rispettivamente con deliberazion</w:t>
            </w:r>
            <w:r w:rsidR="006410AF">
              <w:rPr>
                <w:rFonts w:asciiTheme="minorHAnsi" w:hAnsiTheme="minorHAnsi"/>
              </w:rPr>
              <w:t>i n.</w:t>
            </w:r>
            <w:r w:rsidR="00940FD8" w:rsidRPr="00940FD8">
              <w:rPr>
                <w:rFonts w:asciiTheme="minorHAnsi" w:hAnsiTheme="minorHAnsi"/>
              </w:rPr>
              <w:t xml:space="preserve"> </w:t>
            </w:r>
            <w:r w:rsidR="006410AF" w:rsidRPr="008301BA">
              <w:t>14/2022 del 15/07/2022</w:t>
            </w:r>
            <w:r w:rsidR="006410AF">
              <w:t xml:space="preserve"> e n.</w:t>
            </w:r>
            <w:r w:rsidR="006410AF" w:rsidRPr="008301BA">
              <w:t xml:space="preserve"> . 21/2022 del 29/11/2022</w:t>
            </w:r>
            <w:r w:rsidR="006410AF">
              <w:t>;</w:t>
            </w:r>
          </w:p>
          <w:p w:rsidR="00FE7BAC" w:rsidRDefault="00FE7BAC" w:rsidP="00F460E3">
            <w:pPr>
              <w:spacing w:line="240" w:lineRule="auto"/>
              <w:jc w:val="both"/>
              <w:rPr>
                <w:rFonts w:eastAsia="CenturyGothic-OneByteIdentityH"/>
                <w:lang w:eastAsia="it-IT"/>
              </w:rPr>
            </w:pPr>
            <w:r w:rsidRPr="00BA50F3">
              <w:rPr>
                <w:rFonts w:eastAsia="CenturyGothic-OneByteIdentityH"/>
                <w:lang w:eastAsia="it-IT"/>
              </w:rPr>
              <w:t>-</w:t>
            </w:r>
            <w:r w:rsidR="00527489" w:rsidRPr="00BA50F3">
              <w:rPr>
                <w:rFonts w:eastAsia="CenturyGothic-OneByteIdentityH"/>
                <w:lang w:eastAsia="it-IT"/>
              </w:rPr>
              <w:t>n..</w:t>
            </w:r>
            <w:r w:rsidR="006410AF">
              <w:rPr>
                <w:rFonts w:eastAsia="CenturyGothic-OneByteIdentityH"/>
                <w:lang w:eastAsia="it-IT"/>
              </w:rPr>
              <w:t>1</w:t>
            </w:r>
            <w:r w:rsidR="00527489" w:rsidRPr="00BA50F3">
              <w:rPr>
                <w:rFonts w:eastAsia="CenturyGothic-OneByteIdentityH"/>
                <w:lang w:eastAsia="it-IT"/>
              </w:rPr>
              <w:t xml:space="preserve"> </w:t>
            </w:r>
            <w:r w:rsidR="006410AF">
              <w:rPr>
                <w:rFonts w:eastAsia="CenturyGothic-OneByteIdentityH"/>
                <w:lang w:eastAsia="it-IT"/>
              </w:rPr>
              <w:t xml:space="preserve">aggiornamento </w:t>
            </w:r>
            <w:r w:rsidR="006410AF" w:rsidRPr="006410AF">
              <w:rPr>
                <w:rFonts w:asciiTheme="minorHAnsi" w:hAnsiTheme="minorHAnsi"/>
              </w:rPr>
              <w:t>del</w:t>
            </w:r>
            <w:r w:rsidRPr="006410AF">
              <w:rPr>
                <w:rFonts w:asciiTheme="minorHAnsi" w:hAnsiTheme="minorHAnsi"/>
              </w:rPr>
              <w:t xml:space="preserve"> </w:t>
            </w:r>
            <w:r w:rsidR="006410AF" w:rsidRPr="006410AF">
              <w:rPr>
                <w:rFonts w:asciiTheme="minorHAnsi" w:hAnsiTheme="minorHAnsi"/>
              </w:rPr>
              <w:t>PIAO 2022-2024</w:t>
            </w:r>
            <w:r w:rsidRPr="006410AF">
              <w:rPr>
                <w:rFonts w:asciiTheme="minorHAnsi" w:hAnsiTheme="minorHAnsi"/>
              </w:rPr>
              <w:t xml:space="preserve">, </w:t>
            </w:r>
            <w:r w:rsidR="00BA50F3" w:rsidRPr="00BA50F3">
              <w:rPr>
                <w:rFonts w:asciiTheme="minorHAnsi" w:hAnsiTheme="minorHAnsi"/>
              </w:rPr>
              <w:t>approvat</w:t>
            </w:r>
            <w:r w:rsidR="006410AF">
              <w:rPr>
                <w:rFonts w:asciiTheme="minorHAnsi" w:hAnsiTheme="minorHAnsi"/>
              </w:rPr>
              <w:t>o</w:t>
            </w:r>
            <w:r w:rsidR="00BA50F3" w:rsidRPr="00BA50F3">
              <w:rPr>
                <w:rFonts w:asciiTheme="minorHAnsi" w:hAnsiTheme="minorHAnsi"/>
              </w:rPr>
              <w:t xml:space="preserve"> dal Sindaco metropolitano, con decreto </w:t>
            </w:r>
            <w:r w:rsidR="006410AF" w:rsidRPr="006410AF">
              <w:rPr>
                <w:rFonts w:asciiTheme="minorHAnsi" w:hAnsiTheme="minorHAnsi"/>
              </w:rPr>
              <w:t>n.87/2022 del 22/12/2022;</w:t>
            </w:r>
          </w:p>
          <w:p w:rsidR="009A59EA" w:rsidRPr="001733FE" w:rsidRDefault="009A59EA" w:rsidP="009A59EA">
            <w:pPr>
              <w:spacing w:line="240" w:lineRule="auto"/>
              <w:jc w:val="both"/>
              <w:rPr>
                <w:rFonts w:eastAsia="CenturyGothic-OneByteIdentityH"/>
                <w:lang w:eastAsia="it-IT"/>
              </w:rPr>
            </w:pPr>
            <w:r w:rsidRPr="00563DE5">
              <w:rPr>
                <w:rFonts w:eastAsia="CenturyGothic-OneByteIdentityH"/>
                <w:lang w:eastAsia="it-IT"/>
              </w:rPr>
              <w:t xml:space="preserve">- </w:t>
            </w:r>
            <w:r w:rsidRPr="00563DE5">
              <w:rPr>
                <w:rFonts w:asciiTheme="minorHAnsi" w:hAnsiTheme="minorHAnsi"/>
                <w:i/>
              </w:rPr>
              <w:t xml:space="preserve">Relazione </w:t>
            </w:r>
            <w:r w:rsidR="006410AF">
              <w:rPr>
                <w:rFonts w:asciiTheme="minorHAnsi" w:hAnsiTheme="minorHAnsi"/>
                <w:i/>
              </w:rPr>
              <w:t>annuale sulla</w:t>
            </w:r>
            <w:r w:rsidRPr="00563DE5">
              <w:rPr>
                <w:rFonts w:asciiTheme="minorHAnsi" w:hAnsiTheme="minorHAnsi"/>
                <w:i/>
              </w:rPr>
              <w:t xml:space="preserve"> performance 202</w:t>
            </w:r>
            <w:r w:rsidR="006410AF">
              <w:rPr>
                <w:rFonts w:asciiTheme="minorHAnsi" w:hAnsiTheme="minorHAnsi"/>
                <w:i/>
              </w:rPr>
              <w:t>2</w:t>
            </w:r>
            <w:r w:rsidRPr="00563DE5">
              <w:rPr>
                <w:rFonts w:asciiTheme="minorHAnsi" w:hAnsiTheme="minorHAnsi"/>
                <w:i/>
              </w:rPr>
              <w:t>,</w:t>
            </w:r>
            <w:r w:rsidR="00563DE5" w:rsidRPr="00563DE5">
              <w:rPr>
                <w:rFonts w:asciiTheme="minorHAnsi" w:hAnsiTheme="minorHAnsi"/>
                <w:i/>
              </w:rPr>
              <w:t xml:space="preserve"> </w:t>
            </w:r>
            <w:r w:rsidR="006410AF">
              <w:rPr>
                <w:rFonts w:asciiTheme="minorHAnsi" w:hAnsiTheme="minorHAnsi"/>
              </w:rPr>
              <w:t>approvata dal S</w:t>
            </w:r>
            <w:r w:rsidR="00563DE5" w:rsidRPr="005B5F99">
              <w:rPr>
                <w:rFonts w:asciiTheme="minorHAnsi" w:hAnsiTheme="minorHAnsi"/>
              </w:rPr>
              <w:t>indaco metropolitano con decreto n.14/202</w:t>
            </w:r>
            <w:r w:rsidR="006410AF">
              <w:rPr>
                <w:rFonts w:asciiTheme="minorHAnsi" w:hAnsiTheme="minorHAnsi"/>
              </w:rPr>
              <w:t>3</w:t>
            </w:r>
            <w:r w:rsidR="00563DE5" w:rsidRPr="005B5F99">
              <w:rPr>
                <w:rFonts w:asciiTheme="minorHAnsi" w:hAnsiTheme="minorHAnsi"/>
              </w:rPr>
              <w:t xml:space="preserve"> </w:t>
            </w:r>
            <w:r w:rsidR="00563DE5" w:rsidRPr="003F6CE2">
              <w:rPr>
                <w:rFonts w:asciiTheme="minorHAnsi" w:hAnsiTheme="minorHAnsi"/>
              </w:rPr>
              <w:t>del 1</w:t>
            </w:r>
            <w:r w:rsidR="006410AF">
              <w:rPr>
                <w:rFonts w:asciiTheme="minorHAnsi" w:hAnsiTheme="minorHAnsi"/>
              </w:rPr>
              <w:t>4</w:t>
            </w:r>
            <w:r w:rsidR="00563DE5" w:rsidRPr="003F6CE2">
              <w:rPr>
                <w:rFonts w:asciiTheme="minorHAnsi" w:hAnsiTheme="minorHAnsi"/>
              </w:rPr>
              <w:t>/04/202</w:t>
            </w:r>
            <w:r w:rsidR="006410AF">
              <w:rPr>
                <w:rFonts w:asciiTheme="minorHAnsi" w:hAnsiTheme="minorHAnsi"/>
              </w:rPr>
              <w:t>3;</w:t>
            </w:r>
          </w:p>
          <w:p w:rsidR="00523F3F" w:rsidRPr="001733FE" w:rsidRDefault="00523F3F" w:rsidP="00E74287">
            <w:pPr>
              <w:autoSpaceDE w:val="0"/>
              <w:autoSpaceDN w:val="0"/>
              <w:adjustRightInd w:val="0"/>
              <w:spacing w:after="0" w:line="240" w:lineRule="auto"/>
              <w:jc w:val="both"/>
              <w:rPr>
                <w:rFonts w:eastAsia="CenturyGothic-OneByteIdentityH"/>
                <w:lang w:eastAsia="it-IT"/>
              </w:rPr>
            </w:pPr>
            <w:r w:rsidRPr="001733FE">
              <w:rPr>
                <w:rFonts w:eastAsia="CenturyGothic-OneByteIdentityH"/>
                <w:lang w:eastAsia="it-IT"/>
              </w:rPr>
              <w:t>- dati finanziari e contabili prodotti dal servizio economico finanziario.</w:t>
            </w:r>
          </w:p>
          <w:p w:rsidR="00FF3376" w:rsidRPr="001733FE" w:rsidRDefault="00FF3376" w:rsidP="00E74287">
            <w:pPr>
              <w:autoSpaceDE w:val="0"/>
              <w:autoSpaceDN w:val="0"/>
              <w:adjustRightInd w:val="0"/>
              <w:spacing w:after="0" w:line="240" w:lineRule="auto"/>
              <w:jc w:val="both"/>
              <w:rPr>
                <w:rFonts w:eastAsia="CenturyGothic-OneByteIdentityH"/>
                <w:lang w:eastAsia="it-IT"/>
              </w:rPr>
            </w:pPr>
          </w:p>
          <w:p w:rsidR="00162040" w:rsidRPr="001733FE" w:rsidRDefault="00FF3376" w:rsidP="00790175">
            <w:pPr>
              <w:autoSpaceDE w:val="0"/>
              <w:autoSpaceDN w:val="0"/>
              <w:adjustRightInd w:val="0"/>
              <w:spacing w:after="0" w:line="240" w:lineRule="auto"/>
              <w:jc w:val="both"/>
              <w:rPr>
                <w:rFonts w:eastAsia="CenturyGothic-OneByteIdentityH"/>
                <w:lang w:eastAsia="it-IT"/>
              </w:rPr>
            </w:pPr>
            <w:r w:rsidRPr="00592119">
              <w:rPr>
                <w:rFonts w:eastAsia="CenturyGothic-OneByteIdentityH"/>
                <w:lang w:eastAsia="it-IT"/>
              </w:rPr>
              <w:t xml:space="preserve">Il Nucleo di valutazione, </w:t>
            </w:r>
            <w:r w:rsidR="00C7049D" w:rsidRPr="00592119">
              <w:rPr>
                <w:rFonts w:eastAsia="CenturyGothic-OneByteIdentityH"/>
                <w:lang w:eastAsia="it-IT"/>
              </w:rPr>
              <w:t>nominato</w:t>
            </w:r>
            <w:r w:rsidRPr="00592119">
              <w:rPr>
                <w:rFonts w:eastAsia="CenturyGothic-OneByteIdentityH"/>
                <w:lang w:eastAsia="it-IT"/>
              </w:rPr>
              <w:t xml:space="preserve"> con decreto del Sindaco metropolitano n. 17 del 30/01/2019, </w:t>
            </w:r>
            <w:r w:rsidR="006410AF">
              <w:rPr>
                <w:rFonts w:eastAsia="CenturyGothic-OneByteIdentityH"/>
                <w:lang w:eastAsia="it-IT"/>
              </w:rPr>
              <w:t xml:space="preserve">e successivamente prorogato con </w:t>
            </w:r>
            <w:r w:rsidR="006410AF" w:rsidRPr="00592119">
              <w:rPr>
                <w:rFonts w:eastAsia="CenturyGothic-OneByteIdentityH"/>
                <w:lang w:eastAsia="it-IT"/>
              </w:rPr>
              <w:t>decreto del Sindaco metropolitano n.</w:t>
            </w:r>
            <w:r w:rsidR="006410AF">
              <w:rPr>
                <w:rFonts w:eastAsia="CenturyGothic-OneByteIdentityH"/>
                <w:lang w:eastAsia="it-IT"/>
              </w:rPr>
              <w:t xml:space="preserve"> 33 del 14/06/2022, </w:t>
            </w:r>
            <w:r w:rsidR="00162040" w:rsidRPr="00592119">
              <w:rPr>
                <w:rFonts w:eastAsia="CenturyGothic-OneByteIdentityH"/>
                <w:lang w:eastAsia="it-IT"/>
              </w:rPr>
              <w:t>ha preso in esam</w:t>
            </w:r>
            <w:r w:rsidR="00F460E3" w:rsidRPr="00592119">
              <w:rPr>
                <w:rFonts w:eastAsia="CenturyGothic-OneByteIdentityH"/>
                <w:lang w:eastAsia="it-IT"/>
              </w:rPr>
              <w:t>e</w:t>
            </w:r>
            <w:r w:rsidR="00783A3E" w:rsidRPr="00592119">
              <w:rPr>
                <w:rFonts w:eastAsia="CenturyGothic-OneByteIdentityH"/>
                <w:lang w:eastAsia="it-IT"/>
              </w:rPr>
              <w:t xml:space="preserve"> la</w:t>
            </w:r>
            <w:r w:rsidR="00F460E3" w:rsidRPr="00592119">
              <w:rPr>
                <w:rFonts w:eastAsia="CenturyGothic-OneByteIdentityH"/>
                <w:lang w:eastAsia="it-IT"/>
              </w:rPr>
              <w:t xml:space="preserve"> </w:t>
            </w:r>
            <w:r w:rsidR="00783A3E" w:rsidRPr="00592119">
              <w:rPr>
                <w:rFonts w:eastAsia="CenturyGothic-OneByteIdentityH"/>
                <w:lang w:eastAsia="it-IT"/>
              </w:rPr>
              <w:t xml:space="preserve">Relazione </w:t>
            </w:r>
            <w:r w:rsidR="006410AF">
              <w:rPr>
                <w:rFonts w:eastAsia="CenturyGothic-OneByteIdentityH"/>
                <w:lang w:eastAsia="it-IT"/>
              </w:rPr>
              <w:t>annuale sulla</w:t>
            </w:r>
            <w:r w:rsidR="00783A3E" w:rsidRPr="00592119">
              <w:rPr>
                <w:rFonts w:eastAsia="CenturyGothic-OneByteIdentityH"/>
                <w:lang w:eastAsia="it-IT"/>
              </w:rPr>
              <w:t xml:space="preserve"> performance 20</w:t>
            </w:r>
            <w:r w:rsidR="00592119" w:rsidRPr="00592119">
              <w:rPr>
                <w:rFonts w:eastAsia="CenturyGothic-OneByteIdentityH"/>
                <w:lang w:eastAsia="it-IT"/>
              </w:rPr>
              <w:t>2</w:t>
            </w:r>
            <w:r w:rsidR="006410AF">
              <w:rPr>
                <w:rFonts w:eastAsia="CenturyGothic-OneByteIdentityH"/>
                <w:lang w:eastAsia="it-IT"/>
              </w:rPr>
              <w:t>2</w:t>
            </w:r>
            <w:r w:rsidR="00783A3E" w:rsidRPr="00592119">
              <w:rPr>
                <w:rFonts w:eastAsia="CenturyGothic-OneByteIdentityH"/>
                <w:lang w:eastAsia="it-IT"/>
              </w:rPr>
              <w:t xml:space="preserve">, </w:t>
            </w:r>
            <w:r w:rsidR="00C970CA">
              <w:rPr>
                <w:rFonts w:eastAsia="CenturyGothic-OneByteIdentityH"/>
                <w:lang w:eastAsia="it-IT"/>
              </w:rPr>
              <w:t xml:space="preserve">come </w:t>
            </w:r>
            <w:r w:rsidR="00162040" w:rsidRPr="00592119">
              <w:rPr>
                <w:rFonts w:eastAsia="CenturyGothic-OneByteIdentityH"/>
                <w:lang w:eastAsia="it-IT"/>
              </w:rPr>
              <w:t>previsto dalla metodologia oggi vigente nell’Ente (art.</w:t>
            </w:r>
            <w:r w:rsidR="00F460E3" w:rsidRPr="00592119">
              <w:rPr>
                <w:rFonts w:eastAsia="CenturyGothic-OneByteIdentityH"/>
                <w:lang w:eastAsia="it-IT"/>
              </w:rPr>
              <w:t xml:space="preserve"> </w:t>
            </w:r>
            <w:r w:rsidR="00162040" w:rsidRPr="00592119">
              <w:rPr>
                <w:rFonts w:eastAsia="CenturyGothic-OneByteIdentityH"/>
                <w:lang w:eastAsia="it-IT"/>
              </w:rPr>
              <w:t>31 del Regolamento sull’ordinamento degli uffici e dei servizi e art.</w:t>
            </w:r>
            <w:r w:rsidR="00F460E3" w:rsidRPr="00592119">
              <w:rPr>
                <w:rFonts w:eastAsia="CenturyGothic-OneByteIdentityH"/>
                <w:lang w:eastAsia="it-IT"/>
              </w:rPr>
              <w:t xml:space="preserve"> </w:t>
            </w:r>
            <w:r w:rsidR="00162040" w:rsidRPr="00592119">
              <w:rPr>
                <w:rFonts w:eastAsia="CenturyGothic-OneByteIdentityH"/>
                <w:lang w:eastAsia="it-IT"/>
              </w:rPr>
              <w:t>3 comma 2 lett. e) e comma 4 del Regolamento sul sistema dei controlli interni).</w:t>
            </w:r>
          </w:p>
          <w:p w:rsidR="00790175" w:rsidRDefault="00B13EC5" w:rsidP="00790175">
            <w:pPr>
              <w:autoSpaceDE w:val="0"/>
              <w:autoSpaceDN w:val="0"/>
              <w:adjustRightInd w:val="0"/>
              <w:spacing w:after="0" w:line="240" w:lineRule="auto"/>
              <w:jc w:val="both"/>
              <w:rPr>
                <w:rFonts w:eastAsia="CenturyGothic-OneByteIdentityH"/>
                <w:lang w:eastAsia="it-IT"/>
              </w:rPr>
            </w:pPr>
            <w:r w:rsidRPr="00592119">
              <w:rPr>
                <w:rFonts w:eastAsia="CenturyGothic-OneByteIdentityH"/>
                <w:lang w:eastAsia="it-IT"/>
              </w:rPr>
              <w:t>Il Nucleo, nel corso delle riunioni tenute in videoconferenza nelle giornat</w:t>
            </w:r>
            <w:r w:rsidR="006410AF">
              <w:rPr>
                <w:rFonts w:eastAsia="CenturyGothic-OneByteIdentityH"/>
                <w:lang w:eastAsia="it-IT"/>
              </w:rPr>
              <w:t>e</w:t>
            </w:r>
            <w:r w:rsidR="006410AF" w:rsidRPr="007D0C24">
              <w:rPr>
                <w:rFonts w:cs="Calibri"/>
              </w:rPr>
              <w:t xml:space="preserve"> del 22/03/202</w:t>
            </w:r>
            <w:r w:rsidR="00377A6F">
              <w:rPr>
                <w:rFonts w:cs="Calibri"/>
              </w:rPr>
              <w:t>3</w:t>
            </w:r>
            <w:r w:rsidR="006410AF" w:rsidRPr="007D0C24">
              <w:rPr>
                <w:rFonts w:cs="Calibri"/>
              </w:rPr>
              <w:t>, 28/03/2023 e 30/03/2023</w:t>
            </w:r>
            <w:r w:rsidR="006410AF">
              <w:rPr>
                <w:rFonts w:cs="Calibri"/>
              </w:rPr>
              <w:t xml:space="preserve"> </w:t>
            </w:r>
            <w:r w:rsidRPr="00592119">
              <w:rPr>
                <w:rFonts w:eastAsia="CenturyGothic-OneByteIdentityH"/>
                <w:lang w:eastAsia="it-IT"/>
              </w:rPr>
              <w:t xml:space="preserve">ha proceduto alla verifica puntuale dei risultati ottenuti da ciascun servizio rispetto agli obiettivi operativi e gestionali assegnati nel </w:t>
            </w:r>
            <w:r w:rsidR="00C970CA">
              <w:rPr>
                <w:rFonts w:eastAsia="CenturyGothic-OneByteIdentityH"/>
                <w:lang w:eastAsia="it-IT"/>
              </w:rPr>
              <w:t>202</w:t>
            </w:r>
            <w:r w:rsidR="00B01A6F">
              <w:rPr>
                <w:rFonts w:eastAsia="CenturyGothic-OneByteIdentityH"/>
                <w:lang w:eastAsia="it-IT"/>
              </w:rPr>
              <w:t>2.</w:t>
            </w:r>
          </w:p>
          <w:p w:rsidR="00B13EC5" w:rsidRDefault="00B13EC5" w:rsidP="00790175">
            <w:pPr>
              <w:autoSpaceDE w:val="0"/>
              <w:autoSpaceDN w:val="0"/>
              <w:adjustRightInd w:val="0"/>
              <w:spacing w:after="0" w:line="240" w:lineRule="auto"/>
              <w:jc w:val="both"/>
              <w:rPr>
                <w:rFonts w:eastAsia="CenturyGothic-OneByteIdentityH"/>
                <w:lang w:eastAsia="it-IT"/>
              </w:rPr>
            </w:pPr>
          </w:p>
          <w:p w:rsidR="00162040" w:rsidRPr="001733FE" w:rsidRDefault="00162040" w:rsidP="00F460E3">
            <w:pPr>
              <w:spacing w:line="240" w:lineRule="auto"/>
              <w:jc w:val="both"/>
              <w:rPr>
                <w:rFonts w:eastAsia="CenturyGothic-OneByteIdentityH"/>
                <w:lang w:eastAsia="it-IT"/>
              </w:rPr>
            </w:pPr>
            <w:r w:rsidRPr="00C970CA">
              <w:rPr>
                <w:rFonts w:eastAsia="CenturyGothic-OneByteIdentityH"/>
                <w:lang w:eastAsia="it-IT"/>
              </w:rPr>
              <w:t>Il Nucleo</w:t>
            </w:r>
            <w:r w:rsidR="00C970CA" w:rsidRPr="00C970CA">
              <w:rPr>
                <w:rFonts w:eastAsia="CenturyGothic-OneByteIdentityH"/>
                <w:lang w:eastAsia="it-IT"/>
              </w:rPr>
              <w:t xml:space="preserve"> ha</w:t>
            </w:r>
            <w:r w:rsidRPr="00C970CA">
              <w:rPr>
                <w:rFonts w:eastAsia="CenturyGothic-OneByteIdentityH"/>
                <w:lang w:eastAsia="it-IT"/>
              </w:rPr>
              <w:t xml:space="preserve"> verifica</w:t>
            </w:r>
            <w:r w:rsidR="00AC4DBB" w:rsidRPr="00C970CA">
              <w:rPr>
                <w:rFonts w:eastAsia="CenturyGothic-OneByteIdentityH"/>
                <w:lang w:eastAsia="it-IT"/>
              </w:rPr>
              <w:t>to</w:t>
            </w:r>
            <w:r w:rsidRPr="00C970CA">
              <w:rPr>
                <w:rFonts w:eastAsia="CenturyGothic-OneByteIdentityH"/>
                <w:lang w:eastAsia="it-IT"/>
              </w:rPr>
              <w:t xml:space="preserve"> il rispetto delle </w:t>
            </w:r>
            <w:r w:rsidRPr="00C970CA">
              <w:rPr>
                <w:rFonts w:eastAsia="CenturyGothic-OneByteIdentityH"/>
                <w:lang w:eastAsia="it-IT"/>
              </w:rPr>
              <w:lastRenderedPageBreak/>
              <w:t>caratteristiche essenziali degli</w:t>
            </w:r>
            <w:r w:rsidR="00F460E3" w:rsidRPr="00C970CA">
              <w:rPr>
                <w:rFonts w:eastAsia="CenturyGothic-OneByteIdentityH"/>
                <w:lang w:eastAsia="it-IT"/>
              </w:rPr>
              <w:t xml:space="preserve"> </w:t>
            </w:r>
            <w:r w:rsidRPr="00C970CA">
              <w:rPr>
                <w:rFonts w:eastAsia="CenturyGothic-OneByteIdentityH"/>
                <w:lang w:eastAsia="it-IT"/>
              </w:rPr>
              <w:t>obiettivi di cui all’art. 5 c. 2 D.Lgs. 150/2009 e s.m.i.</w:t>
            </w:r>
            <w:r w:rsidR="004D0DCD" w:rsidRPr="00C970CA">
              <w:rPr>
                <w:rFonts w:eastAsia="CenturyGothic-OneByteIdentityH"/>
                <w:lang w:eastAsia="it-IT"/>
              </w:rPr>
              <w:t>,</w:t>
            </w:r>
            <w:r w:rsidR="00C970CA" w:rsidRPr="00C970CA">
              <w:rPr>
                <w:rFonts w:eastAsia="CenturyGothic-OneByteIdentityH"/>
                <w:lang w:eastAsia="it-IT"/>
              </w:rPr>
              <w:t xml:space="preserve"> e </w:t>
            </w:r>
            <w:r w:rsidR="004D0DCD" w:rsidRPr="00C970CA">
              <w:rPr>
                <w:rFonts w:eastAsia="CenturyGothic-OneByteIdentityH"/>
                <w:lang w:eastAsia="it-IT"/>
              </w:rPr>
              <w:t>ha validato nel suo complesso</w:t>
            </w:r>
            <w:r w:rsidRPr="00C970CA">
              <w:rPr>
                <w:rFonts w:eastAsia="CenturyGothic-OneByteIdentityH"/>
                <w:lang w:eastAsia="it-IT"/>
              </w:rPr>
              <w:t xml:space="preserve"> la metodologia seguita</w:t>
            </w:r>
            <w:r w:rsidR="000A7E2F" w:rsidRPr="00C970CA">
              <w:rPr>
                <w:rFonts w:eastAsia="CenturyGothic-OneByteIdentityH"/>
                <w:lang w:eastAsia="it-IT"/>
              </w:rPr>
              <w:t>, preso atto dei dati della rendicontazione e dei riscontri pervenuti da</w:t>
            </w:r>
            <w:r w:rsidR="004D0DCD" w:rsidRPr="00C970CA">
              <w:rPr>
                <w:rFonts w:eastAsia="CenturyGothic-OneByteIdentityH"/>
                <w:lang w:eastAsia="it-IT"/>
              </w:rPr>
              <w:t xml:space="preserve">i </w:t>
            </w:r>
            <w:r w:rsidR="000A7E2F" w:rsidRPr="00C970CA">
              <w:rPr>
                <w:rFonts w:eastAsia="CenturyGothic-OneByteIdentityH"/>
                <w:lang w:eastAsia="it-IT"/>
              </w:rPr>
              <w:t xml:space="preserve">Dirigenti a fronte </w:t>
            </w:r>
            <w:r w:rsidR="00B77D3A" w:rsidRPr="00C970CA">
              <w:rPr>
                <w:rFonts w:eastAsia="CenturyGothic-OneByteIdentityH"/>
                <w:lang w:eastAsia="it-IT"/>
              </w:rPr>
              <w:t>delle richieste</w:t>
            </w:r>
            <w:r w:rsidR="00794A32">
              <w:rPr>
                <w:rFonts w:eastAsia="CenturyGothic-OneByteIdentityH"/>
                <w:lang w:eastAsia="it-IT"/>
              </w:rPr>
              <w:t xml:space="preserve"> </w:t>
            </w:r>
            <w:r w:rsidR="000A7E2F" w:rsidRPr="00C970CA">
              <w:rPr>
                <w:rFonts w:eastAsia="CenturyGothic-OneByteIdentityH"/>
                <w:lang w:eastAsia="it-IT"/>
              </w:rPr>
              <w:t>di integrazione, che consentono di ricavare un quadro positivo della performance dell’Ente</w:t>
            </w:r>
          </w:p>
          <w:p w:rsidR="000F23BE" w:rsidRPr="00656895" w:rsidRDefault="00656895" w:rsidP="00656895">
            <w:pPr>
              <w:spacing w:line="240" w:lineRule="auto"/>
              <w:jc w:val="both"/>
              <w:rPr>
                <w:rFonts w:eastAsia="CenturyGothic-OneByteIdentityH"/>
                <w:lang w:eastAsia="it-IT"/>
              </w:rPr>
            </w:pPr>
            <w:r>
              <w:rPr>
                <w:rFonts w:eastAsia="CenturyGothic-OneByteIdentityH"/>
                <w:lang w:eastAsia="it-IT"/>
              </w:rPr>
              <w:t>Il Ndv</w:t>
            </w:r>
            <w:r w:rsidRPr="00656895">
              <w:rPr>
                <w:rFonts w:eastAsia="CenturyGothic-OneByteIdentityH"/>
                <w:lang w:eastAsia="it-IT"/>
              </w:rPr>
              <w:t>, pur esprimendo un giudizio positivo sull’impostazione del PIAO 2022-2024, adottato dalla Città Metropolitana di Venezia, segnala l’opportunità di sviluppare maggiormente la sezione Valore pubblico e la sezione Organizzazione e capitale umano del PIAO in modo da assicurarne il raccordo con gli obiettivi di performance.</w:t>
            </w:r>
          </w:p>
          <w:p w:rsidR="00A80E8A" w:rsidRPr="00794A32" w:rsidRDefault="00A80E8A" w:rsidP="003979E8">
            <w:pPr>
              <w:autoSpaceDE w:val="0"/>
              <w:autoSpaceDN w:val="0"/>
              <w:adjustRightInd w:val="0"/>
              <w:spacing w:after="0" w:line="240" w:lineRule="auto"/>
              <w:jc w:val="both"/>
              <w:rPr>
                <w:rFonts w:eastAsia="CenturyGothic-OneByteIdentityH"/>
                <w:lang w:eastAsia="it-IT"/>
              </w:rPr>
            </w:pPr>
          </w:p>
          <w:p w:rsidR="00724F84" w:rsidRPr="00794A32" w:rsidRDefault="00724F84" w:rsidP="005A4F27">
            <w:pPr>
              <w:spacing w:after="0" w:line="240" w:lineRule="auto"/>
              <w:jc w:val="both"/>
              <w:rPr>
                <w:rFonts w:eastAsia="CenturyGothic-OneByteIdentityH"/>
                <w:lang w:eastAsia="it-IT"/>
              </w:rPr>
            </w:pPr>
            <w:r w:rsidRPr="00794A32">
              <w:rPr>
                <w:rFonts w:eastAsia="CenturyGothic-OneByteIdentityH"/>
                <w:lang w:eastAsia="it-IT"/>
              </w:rPr>
              <w:t>Il documento di validazione è</w:t>
            </w:r>
            <w:r w:rsidR="00AC4DBB" w:rsidRPr="00794A32">
              <w:rPr>
                <w:rFonts w:eastAsia="CenturyGothic-OneByteIdentityH"/>
                <w:lang w:eastAsia="it-IT"/>
              </w:rPr>
              <w:t xml:space="preserve"> </w:t>
            </w:r>
            <w:r w:rsidR="000F23BE" w:rsidRPr="00794A32">
              <w:rPr>
                <w:rFonts w:eastAsia="CenturyGothic-OneByteIdentityH"/>
                <w:lang w:eastAsia="it-IT"/>
              </w:rPr>
              <w:t xml:space="preserve">stato </w:t>
            </w:r>
            <w:r w:rsidR="00AC4DBB" w:rsidRPr="00794A32">
              <w:rPr>
                <w:rFonts w:eastAsia="CenturyGothic-OneByteIdentityH"/>
                <w:lang w:eastAsia="it-IT"/>
              </w:rPr>
              <w:t>pubblicato</w:t>
            </w:r>
            <w:r w:rsidRPr="00794A32">
              <w:rPr>
                <w:rFonts w:eastAsia="CenturyGothic-OneByteIdentityH"/>
                <w:lang w:eastAsia="it-IT"/>
              </w:rPr>
              <w:t xml:space="preserve"> </w:t>
            </w:r>
            <w:r w:rsidR="004D0DCD" w:rsidRPr="00794A32">
              <w:rPr>
                <w:rFonts w:eastAsia="CenturyGothic-OneByteIdentityH"/>
                <w:lang w:eastAsia="it-IT"/>
              </w:rPr>
              <w:t xml:space="preserve">nel sito </w:t>
            </w:r>
            <w:r w:rsidR="00AC4DBB" w:rsidRPr="00794A32">
              <w:rPr>
                <w:rFonts w:eastAsia="CenturyGothic-OneByteIdentityH"/>
                <w:lang w:eastAsia="it-IT"/>
              </w:rPr>
              <w:t xml:space="preserve">istituzionale, sezione </w:t>
            </w:r>
            <w:r w:rsidRPr="00794A32">
              <w:rPr>
                <w:rFonts w:eastAsia="CenturyGothic-OneByteIdentityH"/>
                <w:lang w:eastAsia="it-IT"/>
              </w:rPr>
              <w:t>Amministrazione trasparente</w:t>
            </w:r>
            <w:r w:rsidR="005A4F27" w:rsidRPr="00794A32">
              <w:rPr>
                <w:rFonts w:eastAsia="CenturyGothic-OneByteIdentityH"/>
                <w:lang w:eastAsia="it-IT"/>
              </w:rPr>
              <w:t>.</w:t>
            </w:r>
          </w:p>
          <w:p w:rsidR="001F7B39" w:rsidRPr="001733FE" w:rsidRDefault="001F7B39" w:rsidP="001F7B39">
            <w:pPr>
              <w:spacing w:line="240" w:lineRule="auto"/>
              <w:jc w:val="both"/>
              <w:rPr>
                <w:rFonts w:eastAsia="CenturyGothic-OneByteIdentityH"/>
                <w:lang w:eastAsia="it-IT"/>
              </w:rPr>
            </w:pPr>
          </w:p>
        </w:tc>
      </w:tr>
    </w:tbl>
    <w:p w:rsidR="00E54894" w:rsidRPr="001733FE" w:rsidRDefault="00E54894" w:rsidP="00E45B84"/>
    <w:p w:rsidR="00724F84" w:rsidRPr="001733FE" w:rsidRDefault="00724F84" w:rsidP="00E45B84">
      <w:pPr>
        <w:rPr>
          <w:b/>
          <w:bCs/>
          <w:lang w:eastAsia="it-IT"/>
        </w:rPr>
      </w:pPr>
      <w:r w:rsidRPr="001733FE">
        <w:rPr>
          <w:b/>
          <w:bCs/>
          <w:lang w:eastAsia="it-IT"/>
        </w:rPr>
        <w:t>2.</w:t>
      </w:r>
      <w:r w:rsidR="008250AC" w:rsidRPr="001733FE">
        <w:rPr>
          <w:b/>
          <w:bCs/>
          <w:lang w:eastAsia="it-IT"/>
        </w:rPr>
        <w:t>3</w:t>
      </w:r>
      <w:r w:rsidRPr="001733FE">
        <w:rPr>
          <w:b/>
          <w:bCs/>
          <w:lang w:eastAsia="it-IT"/>
        </w:rPr>
        <w:t>._ Misurazione e valutazione della performance organizzativa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89"/>
        <w:gridCol w:w="4889"/>
      </w:tblGrid>
      <w:tr w:rsidR="00724F84" w:rsidRPr="001733FE" w:rsidTr="00E74287">
        <w:tc>
          <w:tcPr>
            <w:tcW w:w="4889" w:type="dxa"/>
          </w:tcPr>
          <w:p w:rsidR="00724F84" w:rsidRPr="001733FE" w:rsidRDefault="00724F84" w:rsidP="005B359F">
            <w:r w:rsidRPr="001733FE">
              <w:rPr>
                <w:b/>
                <w:bCs/>
                <w:lang w:eastAsia="it-IT"/>
              </w:rPr>
              <w:t xml:space="preserve">Aspetti monitorati </w:t>
            </w:r>
          </w:p>
        </w:tc>
        <w:tc>
          <w:tcPr>
            <w:tcW w:w="4889" w:type="dxa"/>
          </w:tcPr>
          <w:p w:rsidR="00724F84" w:rsidRPr="001733FE" w:rsidRDefault="00724F84" w:rsidP="005B359F">
            <w:r w:rsidRPr="001733FE">
              <w:rPr>
                <w:b/>
                <w:bCs/>
                <w:lang w:eastAsia="it-IT"/>
              </w:rPr>
              <w:t>Esiti delle verifiche effettuate</w:t>
            </w:r>
          </w:p>
        </w:tc>
      </w:tr>
      <w:tr w:rsidR="00724F84" w:rsidRPr="001733FE" w:rsidTr="00E74287">
        <w:tc>
          <w:tcPr>
            <w:tcW w:w="4889" w:type="dxa"/>
          </w:tcPr>
          <w:p w:rsidR="00724F84" w:rsidRPr="001733FE" w:rsidRDefault="00724F84" w:rsidP="00E74287">
            <w:pPr>
              <w:autoSpaceDE w:val="0"/>
              <w:autoSpaceDN w:val="0"/>
              <w:adjustRightInd w:val="0"/>
              <w:spacing w:after="0" w:line="240" w:lineRule="auto"/>
              <w:rPr>
                <w:i/>
                <w:iCs/>
                <w:lang w:eastAsia="it-IT"/>
              </w:rPr>
            </w:pPr>
            <w:r w:rsidRPr="001733FE">
              <w:rPr>
                <w:i/>
                <w:iCs/>
                <w:lang w:eastAsia="it-IT"/>
              </w:rPr>
              <w:t>Adeguatezza delle modalità di misurazione del_</w:t>
            </w:r>
          </w:p>
          <w:p w:rsidR="00724F84" w:rsidRPr="001733FE" w:rsidRDefault="00724F84" w:rsidP="00724F84">
            <w:r w:rsidRPr="001733FE">
              <w:rPr>
                <w:i/>
                <w:iCs/>
                <w:lang w:eastAsia="it-IT"/>
              </w:rPr>
              <w:t>la performance</w:t>
            </w:r>
          </w:p>
        </w:tc>
        <w:tc>
          <w:tcPr>
            <w:tcW w:w="4889" w:type="dxa"/>
          </w:tcPr>
          <w:p w:rsidR="00B50AF1" w:rsidRDefault="00B50AF1" w:rsidP="004D0DCD">
            <w:pPr>
              <w:spacing w:line="240" w:lineRule="auto"/>
              <w:jc w:val="both"/>
              <w:rPr>
                <w:rFonts w:eastAsia="CenturyGothic-OneByteIdentityH"/>
                <w:lang w:eastAsia="it-IT"/>
              </w:rPr>
            </w:pPr>
            <w:r w:rsidRPr="001733FE">
              <w:rPr>
                <w:rFonts w:eastAsia="CenturyGothic-OneByteIdentityH"/>
                <w:lang w:eastAsia="it-IT"/>
              </w:rPr>
              <w:t>La performance organizzativa attesa</w:t>
            </w:r>
            <w:r w:rsidR="00AA6826">
              <w:rPr>
                <w:rFonts w:eastAsia="CenturyGothic-OneByteIdentityH"/>
                <w:lang w:eastAsia="it-IT"/>
              </w:rPr>
              <w:t xml:space="preserve">, </w:t>
            </w:r>
            <w:r w:rsidR="00AA6826">
              <w:t>cioè il contributo che l’organizzazione nel suo complesso apporta al compimento della mission dell’Ente, attraverso il raggiungimento degli obiettivi prefissati, la soddisfazione delle esigenze degli utenti e di tutti gli stakeholder,</w:t>
            </w:r>
            <w:r w:rsidRPr="001733FE">
              <w:rPr>
                <w:rFonts w:eastAsia="CenturyGothic-OneByteIdentityH"/>
                <w:lang w:eastAsia="it-IT"/>
              </w:rPr>
              <w:t xml:space="preserve"> è riportata nel </w:t>
            </w:r>
            <w:r w:rsidR="00AA6826" w:rsidRPr="00656895">
              <w:rPr>
                <w:rFonts w:eastAsia="CenturyGothic-OneByteIdentityH"/>
                <w:lang w:eastAsia="it-IT"/>
              </w:rPr>
              <w:t>PIAO 2022-2024</w:t>
            </w:r>
            <w:r w:rsidR="00AA6826">
              <w:rPr>
                <w:rFonts w:eastAsia="CenturyGothic-OneByteIdentityH"/>
                <w:lang w:eastAsia="it-IT"/>
              </w:rPr>
              <w:t xml:space="preserve">, sezione Performance, </w:t>
            </w:r>
            <w:r w:rsidRPr="001733FE">
              <w:rPr>
                <w:rFonts w:eastAsia="CenturyGothic-OneByteIdentityH"/>
                <w:lang w:eastAsia="it-IT"/>
              </w:rPr>
              <w:t>ed è definita dal sistema di indicatori assegnati ad ogni servizio.</w:t>
            </w:r>
          </w:p>
          <w:p w:rsidR="00724F84" w:rsidRPr="001733FE" w:rsidRDefault="00B50AF1" w:rsidP="00AA6826">
            <w:pPr>
              <w:spacing w:line="240" w:lineRule="auto"/>
              <w:jc w:val="both"/>
              <w:rPr>
                <w:rFonts w:eastAsia="CenturyGothic-OneByteIdentityH"/>
                <w:lang w:eastAsia="it-IT"/>
              </w:rPr>
            </w:pPr>
            <w:r w:rsidRPr="001733FE">
              <w:rPr>
                <w:rFonts w:eastAsia="CenturyGothic-OneByteIdentityH"/>
                <w:lang w:eastAsia="it-IT"/>
              </w:rPr>
              <w:t xml:space="preserve">La corretta e chiara misurazione della performance organizzativa conseguita </w:t>
            </w:r>
            <w:r w:rsidR="0086287B">
              <w:rPr>
                <w:rFonts w:eastAsia="CenturyGothic-OneByteIdentityH"/>
                <w:lang w:eastAsia="it-IT"/>
              </w:rPr>
              <w:t>è</w:t>
            </w:r>
            <w:r w:rsidR="0086287B" w:rsidRPr="001733FE">
              <w:rPr>
                <w:rFonts w:eastAsia="CenturyGothic-OneByteIdentityH"/>
                <w:lang w:eastAsia="it-IT"/>
              </w:rPr>
              <w:t xml:space="preserve"> </w:t>
            </w:r>
            <w:r w:rsidR="0086287B">
              <w:rPr>
                <w:rFonts w:eastAsia="CenturyGothic-OneByteIdentityH"/>
                <w:lang w:eastAsia="it-IT"/>
              </w:rPr>
              <w:t>favorit</w:t>
            </w:r>
            <w:r w:rsidR="0086287B" w:rsidRPr="001733FE">
              <w:rPr>
                <w:rFonts w:eastAsia="CenturyGothic-OneByteIdentityH"/>
                <w:lang w:eastAsia="it-IT"/>
              </w:rPr>
              <w:t>a d</w:t>
            </w:r>
            <w:r w:rsidR="0086287B">
              <w:rPr>
                <w:rFonts w:eastAsia="CenturyGothic-OneByteIdentityH"/>
                <w:lang w:eastAsia="it-IT"/>
              </w:rPr>
              <w:t>a</w:t>
            </w:r>
            <w:r w:rsidR="0086287B" w:rsidRPr="001733FE">
              <w:rPr>
                <w:rFonts w:eastAsia="CenturyGothic-OneByteIdentityH"/>
                <w:lang w:eastAsia="it-IT"/>
              </w:rPr>
              <w:t xml:space="preserve">ll’integrazione </w:t>
            </w:r>
            <w:r w:rsidRPr="001733FE">
              <w:rPr>
                <w:rFonts w:eastAsia="CenturyGothic-OneByteIdentityH"/>
                <w:lang w:eastAsia="it-IT"/>
              </w:rPr>
              <w:t xml:space="preserve">strutturale tra </w:t>
            </w:r>
            <w:r w:rsidR="00AA6826">
              <w:rPr>
                <w:rFonts w:eastAsia="CenturyGothic-OneByteIdentityH"/>
                <w:lang w:eastAsia="it-IT"/>
              </w:rPr>
              <w:t>PIAO e monitoraggio dello stesso, contenuto nella Relazione annuale sulla performance.</w:t>
            </w:r>
          </w:p>
        </w:tc>
      </w:tr>
      <w:tr w:rsidR="00724F84" w:rsidRPr="001733FE" w:rsidTr="00E74287">
        <w:tc>
          <w:tcPr>
            <w:tcW w:w="4889" w:type="dxa"/>
          </w:tcPr>
          <w:p w:rsidR="00724F84" w:rsidRPr="001733FE" w:rsidRDefault="00724F84" w:rsidP="00E45B84">
            <w:r w:rsidRPr="001733FE">
              <w:rPr>
                <w:i/>
                <w:iCs/>
                <w:lang w:eastAsia="it-IT"/>
              </w:rPr>
              <w:t>Frequenza dei monitoraggi</w:t>
            </w:r>
          </w:p>
        </w:tc>
        <w:tc>
          <w:tcPr>
            <w:tcW w:w="4889" w:type="dxa"/>
          </w:tcPr>
          <w:p w:rsidR="00724F84" w:rsidRPr="00B727A9" w:rsidRDefault="005B1C91" w:rsidP="00E74287">
            <w:pPr>
              <w:jc w:val="both"/>
              <w:rPr>
                <w:rFonts w:eastAsia="CenturyGothic-OneByteIdentityH"/>
                <w:lang w:eastAsia="it-IT"/>
              </w:rPr>
            </w:pPr>
            <w:r w:rsidRPr="00B727A9">
              <w:rPr>
                <w:rFonts w:eastAsia="CenturyGothic-OneByteIdentityH"/>
                <w:lang w:eastAsia="it-IT"/>
              </w:rPr>
              <w:t>Il monitoraggio è stato effettuato:</w:t>
            </w:r>
          </w:p>
          <w:p w:rsidR="004D0DCD" w:rsidRPr="00B727A9" w:rsidRDefault="005B1C91" w:rsidP="004D0DCD">
            <w:pPr>
              <w:spacing w:after="0" w:line="240" w:lineRule="auto"/>
              <w:jc w:val="both"/>
              <w:rPr>
                <w:rFonts w:eastAsia="CenturyGothic-OneByteIdentityH"/>
                <w:lang w:eastAsia="it-IT"/>
              </w:rPr>
            </w:pPr>
            <w:r w:rsidRPr="00B727A9">
              <w:rPr>
                <w:rFonts w:eastAsia="CenturyGothic-OneByteIdentityH"/>
                <w:lang w:eastAsia="it-IT"/>
              </w:rPr>
              <w:t>-a luglio 2</w:t>
            </w:r>
            <w:r w:rsidR="00B727A9" w:rsidRPr="00B727A9">
              <w:rPr>
                <w:rFonts w:eastAsia="CenturyGothic-OneByteIdentityH"/>
                <w:lang w:eastAsia="it-IT"/>
              </w:rPr>
              <w:t>02</w:t>
            </w:r>
            <w:r w:rsidR="00AA6826">
              <w:rPr>
                <w:rFonts w:eastAsia="CenturyGothic-OneByteIdentityH"/>
                <w:lang w:eastAsia="it-IT"/>
              </w:rPr>
              <w:t>2</w:t>
            </w:r>
            <w:r w:rsidRPr="00B727A9">
              <w:rPr>
                <w:rFonts w:eastAsia="CenturyGothic-OneByteIdentityH"/>
                <w:lang w:eastAsia="it-IT"/>
              </w:rPr>
              <w:t xml:space="preserve"> con</w:t>
            </w:r>
            <w:r w:rsidR="004D0DCD" w:rsidRPr="00B727A9">
              <w:rPr>
                <w:rFonts w:eastAsia="CenturyGothic-OneByteIdentityH"/>
                <w:lang w:eastAsia="it-IT"/>
              </w:rPr>
              <w:t>:</w:t>
            </w:r>
          </w:p>
          <w:p w:rsidR="005B1C91" w:rsidRPr="00B727A9" w:rsidRDefault="004D0DCD" w:rsidP="004D0DCD">
            <w:pPr>
              <w:spacing w:after="0" w:line="240" w:lineRule="auto"/>
              <w:jc w:val="both"/>
              <w:rPr>
                <w:rFonts w:eastAsia="CenturyGothic-OneByteIdentityH"/>
                <w:lang w:eastAsia="it-IT"/>
              </w:rPr>
            </w:pPr>
            <w:r w:rsidRPr="00B727A9">
              <w:rPr>
                <w:rFonts w:eastAsia="CenturyGothic-OneByteIdentityH"/>
                <w:lang w:eastAsia="it-IT"/>
              </w:rPr>
              <w:t>-</w:t>
            </w:r>
            <w:r w:rsidR="002C7C97" w:rsidRPr="00B727A9">
              <w:rPr>
                <w:rFonts w:eastAsia="CenturyGothic-OneByteIdentityH"/>
                <w:lang w:eastAsia="it-IT"/>
              </w:rPr>
              <w:t>la verifica dello stato di attuazione dei programmi 20</w:t>
            </w:r>
            <w:r w:rsidR="00B727A9" w:rsidRPr="00B727A9">
              <w:rPr>
                <w:rFonts w:eastAsia="CenturyGothic-OneByteIdentityH"/>
                <w:lang w:eastAsia="it-IT"/>
              </w:rPr>
              <w:t>2</w:t>
            </w:r>
            <w:r w:rsidR="00AA6826">
              <w:rPr>
                <w:rFonts w:eastAsia="CenturyGothic-OneByteIdentityH"/>
                <w:lang w:eastAsia="it-IT"/>
              </w:rPr>
              <w:t>2</w:t>
            </w:r>
            <w:r w:rsidR="005B1C91" w:rsidRPr="00B727A9">
              <w:rPr>
                <w:rFonts w:eastAsia="CenturyGothic-OneByteIdentityH"/>
                <w:lang w:eastAsia="it-IT"/>
              </w:rPr>
              <w:t xml:space="preserve"> e la conseguente</w:t>
            </w:r>
            <w:r w:rsidR="000662DD" w:rsidRPr="00B727A9">
              <w:rPr>
                <w:rFonts w:eastAsia="CenturyGothic-OneByteIdentityH"/>
                <w:lang w:eastAsia="it-IT"/>
              </w:rPr>
              <w:t xml:space="preserve"> variazione del DUP 20</w:t>
            </w:r>
            <w:r w:rsidR="00B727A9" w:rsidRPr="00B727A9">
              <w:rPr>
                <w:rFonts w:eastAsia="CenturyGothic-OneByteIdentityH"/>
                <w:lang w:eastAsia="it-IT"/>
              </w:rPr>
              <w:t>2</w:t>
            </w:r>
            <w:r w:rsidR="00AA6826">
              <w:rPr>
                <w:rFonts w:eastAsia="CenturyGothic-OneByteIdentityH"/>
                <w:lang w:eastAsia="it-IT"/>
              </w:rPr>
              <w:t>2</w:t>
            </w:r>
            <w:r w:rsidR="000662DD" w:rsidRPr="00B727A9">
              <w:rPr>
                <w:rFonts w:eastAsia="CenturyGothic-OneByteIdentityH"/>
                <w:lang w:eastAsia="it-IT"/>
              </w:rPr>
              <w:t>-202</w:t>
            </w:r>
            <w:r w:rsidR="00AA6826">
              <w:rPr>
                <w:rFonts w:eastAsia="CenturyGothic-OneByteIdentityH"/>
                <w:lang w:eastAsia="it-IT"/>
              </w:rPr>
              <w:t>4</w:t>
            </w:r>
            <w:r w:rsidR="000662DD" w:rsidRPr="00B727A9">
              <w:rPr>
                <w:rFonts w:eastAsia="CenturyGothic-OneByteIdentityH"/>
                <w:lang w:eastAsia="it-IT"/>
              </w:rPr>
              <w:t xml:space="preserve">, </w:t>
            </w:r>
            <w:r w:rsidR="005B1C91" w:rsidRPr="00B727A9">
              <w:rPr>
                <w:rFonts w:eastAsia="CenturyGothic-OneByteIdentityH"/>
                <w:lang w:eastAsia="it-IT"/>
              </w:rPr>
              <w:t>poi approvat</w:t>
            </w:r>
            <w:r w:rsidR="00AA6826">
              <w:rPr>
                <w:rFonts w:eastAsia="CenturyGothic-OneByteIdentityH"/>
                <w:lang w:eastAsia="it-IT"/>
              </w:rPr>
              <w:t>e</w:t>
            </w:r>
            <w:r w:rsidR="005B1C91" w:rsidRPr="00B727A9">
              <w:rPr>
                <w:rFonts w:eastAsia="CenturyGothic-OneByteIdentityH"/>
                <w:lang w:eastAsia="it-IT"/>
              </w:rPr>
              <w:t xml:space="preserve"> </w:t>
            </w:r>
            <w:r w:rsidR="008A4F52" w:rsidRPr="00B727A9">
              <w:rPr>
                <w:rFonts w:eastAsia="CenturyGothic-OneByteIdentityH"/>
                <w:lang w:eastAsia="it-IT"/>
              </w:rPr>
              <w:t xml:space="preserve">con delibera </w:t>
            </w:r>
            <w:r w:rsidR="00B727A9" w:rsidRPr="00B727A9">
              <w:rPr>
                <w:rFonts w:asciiTheme="minorHAnsi" w:hAnsiTheme="minorHAnsi"/>
              </w:rPr>
              <w:t xml:space="preserve">del Consiglio metropolitano </w:t>
            </w:r>
            <w:r w:rsidR="00AA6826">
              <w:rPr>
                <w:rFonts w:eastAsia="CenturyGothic-OneByteIdentityH"/>
                <w:lang w:eastAsia="it-IT"/>
              </w:rPr>
              <w:t xml:space="preserve">n. </w:t>
            </w:r>
            <w:r w:rsidR="00AA6826" w:rsidRPr="008301BA">
              <w:t>14/2022 del 15/07/2022</w:t>
            </w:r>
            <w:r w:rsidR="00B727A9" w:rsidRPr="00B727A9">
              <w:rPr>
                <w:rFonts w:asciiTheme="minorHAnsi" w:hAnsiTheme="minorHAnsi"/>
              </w:rPr>
              <w:t>;</w:t>
            </w:r>
          </w:p>
          <w:p w:rsidR="004D0DCD" w:rsidRPr="00646EBA" w:rsidRDefault="004D0DCD" w:rsidP="004D0DCD">
            <w:pPr>
              <w:spacing w:after="0" w:line="240" w:lineRule="auto"/>
              <w:jc w:val="both"/>
              <w:rPr>
                <w:rFonts w:eastAsia="CenturyGothic-OneByteIdentityH"/>
                <w:highlight w:val="yellow"/>
                <w:lang w:eastAsia="it-IT"/>
              </w:rPr>
            </w:pPr>
          </w:p>
          <w:p w:rsidR="00790175" w:rsidRPr="002B15D7" w:rsidRDefault="008A2077" w:rsidP="002B175B">
            <w:pPr>
              <w:spacing w:after="0" w:line="240" w:lineRule="auto"/>
              <w:jc w:val="both"/>
              <w:rPr>
                <w:rFonts w:eastAsia="CenturyGothic-OneByteIdentityH"/>
                <w:lang w:eastAsia="it-IT"/>
              </w:rPr>
            </w:pPr>
            <w:r w:rsidRPr="002B15D7">
              <w:rPr>
                <w:rFonts w:eastAsia="CenturyGothic-OneByteIdentityH"/>
                <w:lang w:eastAsia="it-IT"/>
              </w:rPr>
              <w:t>-al 31/12/20</w:t>
            </w:r>
            <w:r w:rsidR="00B727A9" w:rsidRPr="00B91FB6">
              <w:rPr>
                <w:rFonts w:eastAsia="CenturyGothic-OneByteIdentityH"/>
                <w:lang w:eastAsia="it-IT"/>
              </w:rPr>
              <w:t>2</w:t>
            </w:r>
            <w:r w:rsidR="00AA6826">
              <w:rPr>
                <w:rFonts w:eastAsia="CenturyGothic-OneByteIdentityH"/>
                <w:lang w:eastAsia="it-IT"/>
              </w:rPr>
              <w:t>2</w:t>
            </w:r>
            <w:r w:rsidRPr="002B15D7">
              <w:rPr>
                <w:rFonts w:eastAsia="CenturyGothic-OneByteIdentityH"/>
                <w:lang w:eastAsia="it-IT"/>
              </w:rPr>
              <w:t xml:space="preserve"> con:</w:t>
            </w:r>
          </w:p>
          <w:p w:rsidR="00790175" w:rsidRPr="002B15D7" w:rsidRDefault="008A2077" w:rsidP="002B175B">
            <w:pPr>
              <w:spacing w:after="0" w:line="240" w:lineRule="auto"/>
              <w:jc w:val="both"/>
              <w:rPr>
                <w:rFonts w:eastAsia="CenturyGothic-OneByteIdentityH"/>
                <w:lang w:eastAsia="it-IT"/>
              </w:rPr>
            </w:pPr>
            <w:r w:rsidRPr="002B15D7">
              <w:rPr>
                <w:rFonts w:eastAsia="CenturyGothic-OneByteIdentityH"/>
                <w:lang w:eastAsia="it-IT"/>
              </w:rPr>
              <w:t xml:space="preserve">- </w:t>
            </w:r>
            <w:r w:rsidR="002B175B" w:rsidRPr="00B91FB6">
              <w:rPr>
                <w:rFonts w:eastAsia="CenturyGothic-OneByteIdentityH"/>
                <w:lang w:eastAsia="it-IT"/>
              </w:rPr>
              <w:t xml:space="preserve">la Relazione </w:t>
            </w:r>
            <w:r w:rsidR="00AA6826">
              <w:rPr>
                <w:rFonts w:eastAsia="CenturyGothic-OneByteIdentityH"/>
                <w:lang w:eastAsia="it-IT"/>
              </w:rPr>
              <w:t xml:space="preserve">annuale sulla </w:t>
            </w:r>
            <w:r w:rsidR="002B175B" w:rsidRPr="00B91FB6">
              <w:rPr>
                <w:rFonts w:eastAsia="CenturyGothic-OneByteIdentityH"/>
                <w:lang w:eastAsia="it-IT"/>
              </w:rPr>
              <w:t>performance 20</w:t>
            </w:r>
            <w:r w:rsidR="00B91FB6" w:rsidRPr="00B91FB6">
              <w:rPr>
                <w:rFonts w:eastAsia="CenturyGothic-OneByteIdentityH"/>
                <w:lang w:eastAsia="it-IT"/>
              </w:rPr>
              <w:t>2</w:t>
            </w:r>
            <w:r w:rsidR="00AA6826">
              <w:rPr>
                <w:rFonts w:eastAsia="CenturyGothic-OneByteIdentityH"/>
                <w:lang w:eastAsia="it-IT"/>
              </w:rPr>
              <w:t>2</w:t>
            </w:r>
            <w:r w:rsidR="002B175B" w:rsidRPr="00B91FB6">
              <w:rPr>
                <w:rFonts w:eastAsia="CenturyGothic-OneByteIdentityH"/>
                <w:lang w:eastAsia="it-IT"/>
              </w:rPr>
              <w:t xml:space="preserve">, approvata dal sindaco metropolitano </w:t>
            </w:r>
            <w:r w:rsidR="00B91FB6" w:rsidRPr="00B91FB6">
              <w:rPr>
                <w:rFonts w:asciiTheme="minorHAnsi" w:hAnsiTheme="minorHAnsi"/>
              </w:rPr>
              <w:t xml:space="preserve">con decreto </w:t>
            </w:r>
            <w:r w:rsidR="00B91FB6" w:rsidRPr="00B91FB6">
              <w:rPr>
                <w:rFonts w:asciiTheme="minorHAnsi" w:hAnsiTheme="minorHAnsi"/>
              </w:rPr>
              <w:lastRenderedPageBreak/>
              <w:t>n.</w:t>
            </w:r>
            <w:r w:rsidR="00AA6826">
              <w:rPr>
                <w:rFonts w:asciiTheme="minorHAnsi" w:hAnsiTheme="minorHAnsi"/>
              </w:rPr>
              <w:t>14</w:t>
            </w:r>
            <w:r w:rsidR="00B91FB6" w:rsidRPr="00B91FB6">
              <w:rPr>
                <w:rFonts w:asciiTheme="minorHAnsi" w:hAnsiTheme="minorHAnsi"/>
              </w:rPr>
              <w:t>/202</w:t>
            </w:r>
            <w:r w:rsidR="00AA6826">
              <w:rPr>
                <w:rFonts w:asciiTheme="minorHAnsi" w:hAnsiTheme="minorHAnsi"/>
              </w:rPr>
              <w:t>3</w:t>
            </w:r>
            <w:r w:rsidR="00B91FB6" w:rsidRPr="00B91FB6">
              <w:rPr>
                <w:rFonts w:asciiTheme="minorHAnsi" w:hAnsiTheme="minorHAnsi"/>
              </w:rPr>
              <w:t xml:space="preserve"> del </w:t>
            </w:r>
            <w:r w:rsidR="00AA6826">
              <w:rPr>
                <w:rFonts w:asciiTheme="minorHAnsi" w:hAnsiTheme="minorHAnsi"/>
              </w:rPr>
              <w:t>14</w:t>
            </w:r>
            <w:r w:rsidR="00B91FB6" w:rsidRPr="00B91FB6">
              <w:rPr>
                <w:rFonts w:asciiTheme="minorHAnsi" w:hAnsiTheme="minorHAnsi"/>
              </w:rPr>
              <w:t>/04/202</w:t>
            </w:r>
            <w:r w:rsidR="00AA6826">
              <w:rPr>
                <w:rFonts w:asciiTheme="minorHAnsi" w:hAnsiTheme="minorHAnsi"/>
              </w:rPr>
              <w:t>3</w:t>
            </w:r>
            <w:r w:rsidR="000C2487">
              <w:rPr>
                <w:rFonts w:asciiTheme="minorHAnsi" w:hAnsiTheme="minorHAnsi"/>
              </w:rPr>
              <w:t xml:space="preserve"> </w:t>
            </w:r>
            <w:r w:rsidRPr="002B15D7">
              <w:rPr>
                <w:rFonts w:eastAsia="CenturyGothic-OneByteIdentityH"/>
                <w:lang w:eastAsia="it-IT"/>
              </w:rPr>
              <w:t xml:space="preserve">e validata dal Nucleo in data </w:t>
            </w:r>
            <w:r w:rsidR="00E6035A">
              <w:rPr>
                <w:rFonts w:eastAsia="CenturyGothic-OneByteIdentityH"/>
                <w:lang w:eastAsia="it-IT"/>
              </w:rPr>
              <w:t xml:space="preserve"> 14/04/2023.</w:t>
            </w:r>
          </w:p>
          <w:p w:rsidR="00A5607D" w:rsidRPr="002B15D7" w:rsidRDefault="00A5607D" w:rsidP="00AA6826">
            <w:pPr>
              <w:spacing w:after="0" w:line="240" w:lineRule="auto"/>
              <w:jc w:val="both"/>
              <w:rPr>
                <w:rFonts w:eastAsia="CenturyGothic-OneByteIdentityH"/>
                <w:lang w:eastAsia="it-IT"/>
              </w:rPr>
            </w:pPr>
          </w:p>
          <w:p w:rsidR="00A5607D" w:rsidRPr="00B727A9" w:rsidRDefault="00A5607D" w:rsidP="00B727A9">
            <w:pPr>
              <w:spacing w:after="0" w:line="240" w:lineRule="auto"/>
              <w:jc w:val="both"/>
              <w:rPr>
                <w:rFonts w:eastAsia="CenturyGothic-OneByteIdentityH"/>
                <w:lang w:eastAsia="it-IT"/>
              </w:rPr>
            </w:pPr>
          </w:p>
          <w:p w:rsidR="00B727A9" w:rsidRPr="001733FE" w:rsidRDefault="00B727A9" w:rsidP="002B175B">
            <w:pPr>
              <w:pStyle w:val="Paragrafoelenco"/>
              <w:ind w:left="0"/>
              <w:jc w:val="both"/>
            </w:pPr>
          </w:p>
        </w:tc>
      </w:tr>
      <w:tr w:rsidR="00724F84" w:rsidRPr="001733FE" w:rsidTr="00E74287">
        <w:tc>
          <w:tcPr>
            <w:tcW w:w="4889" w:type="dxa"/>
          </w:tcPr>
          <w:p w:rsidR="00724F84" w:rsidRPr="001733FE" w:rsidRDefault="00724F84" w:rsidP="00E45B84">
            <w:r w:rsidRPr="001733FE">
              <w:rPr>
                <w:i/>
                <w:iCs/>
                <w:lang w:eastAsia="it-IT"/>
              </w:rPr>
              <w:lastRenderedPageBreak/>
              <w:t>Qualità dei dati utilizzati a supporto della misurazione della performance</w:t>
            </w:r>
          </w:p>
        </w:tc>
        <w:tc>
          <w:tcPr>
            <w:tcW w:w="4889" w:type="dxa"/>
          </w:tcPr>
          <w:p w:rsidR="005B359F" w:rsidRPr="001733FE" w:rsidRDefault="005B359F" w:rsidP="004D0DCD">
            <w:pPr>
              <w:autoSpaceDE w:val="0"/>
              <w:autoSpaceDN w:val="0"/>
              <w:adjustRightInd w:val="0"/>
              <w:spacing w:after="0" w:line="240" w:lineRule="auto"/>
              <w:jc w:val="both"/>
              <w:rPr>
                <w:rFonts w:eastAsia="CenturyGothic-OneByteIdentityH"/>
                <w:lang w:eastAsia="it-IT"/>
              </w:rPr>
            </w:pPr>
            <w:r w:rsidRPr="001733FE">
              <w:rPr>
                <w:rFonts w:eastAsia="CenturyGothic-OneByteIdentityH"/>
                <w:lang w:eastAsia="it-IT"/>
              </w:rPr>
              <w:t xml:space="preserve">I risultati degli indicatori vengono valorizzati direttamente dai singoli servizi; successivamente il servizio Direzione Generale effettua la verifica sulla veridicità dei dati inseriti per tutti gli indicatori, sulla base della documentazione </w:t>
            </w:r>
            <w:r w:rsidR="004D0DCD" w:rsidRPr="001733FE">
              <w:rPr>
                <w:rFonts w:eastAsia="CenturyGothic-OneByteIdentityH"/>
                <w:lang w:eastAsia="it-IT"/>
              </w:rPr>
              <w:t xml:space="preserve">trasmessa a titolo </w:t>
            </w:r>
            <w:r w:rsidRPr="001733FE">
              <w:rPr>
                <w:rFonts w:eastAsia="CenturyGothic-OneByteIdentityH"/>
                <w:lang w:eastAsia="it-IT"/>
              </w:rPr>
              <w:t>giustificativo.</w:t>
            </w:r>
          </w:p>
          <w:p w:rsidR="00724F84" w:rsidRPr="001733FE" w:rsidRDefault="00724F84" w:rsidP="005B359F"/>
        </w:tc>
      </w:tr>
    </w:tbl>
    <w:p w:rsidR="00724F84" w:rsidRPr="001733FE" w:rsidRDefault="00724F84" w:rsidP="00E45B84"/>
    <w:p w:rsidR="005B359F" w:rsidRDefault="008250AC" w:rsidP="005B359F">
      <w:pPr>
        <w:autoSpaceDE w:val="0"/>
        <w:autoSpaceDN w:val="0"/>
        <w:adjustRightInd w:val="0"/>
        <w:spacing w:after="0" w:line="240" w:lineRule="auto"/>
        <w:rPr>
          <w:b/>
          <w:bCs/>
          <w:lang w:eastAsia="it-IT"/>
        </w:rPr>
      </w:pPr>
      <w:r w:rsidRPr="001733FE">
        <w:rPr>
          <w:b/>
          <w:bCs/>
          <w:lang w:eastAsia="it-IT"/>
        </w:rPr>
        <w:t>2.4</w:t>
      </w:r>
      <w:r w:rsidR="005B359F" w:rsidRPr="001733FE">
        <w:rPr>
          <w:b/>
          <w:bCs/>
          <w:lang w:eastAsia="it-IT"/>
        </w:rPr>
        <w:t>._ Definizione degli obiettivi individuali, indicatori e target</w:t>
      </w:r>
    </w:p>
    <w:p w:rsidR="001733FE" w:rsidRPr="001733FE" w:rsidRDefault="001733FE" w:rsidP="005B359F">
      <w:pPr>
        <w:autoSpaceDE w:val="0"/>
        <w:autoSpaceDN w:val="0"/>
        <w:adjustRightInd w:val="0"/>
        <w:spacing w:after="0" w:line="240" w:lineRule="auto"/>
        <w:rPr>
          <w:b/>
          <w:bCs/>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89"/>
        <w:gridCol w:w="4889"/>
      </w:tblGrid>
      <w:tr w:rsidR="005B359F" w:rsidRPr="001733FE" w:rsidTr="00E74287">
        <w:tc>
          <w:tcPr>
            <w:tcW w:w="4889" w:type="dxa"/>
          </w:tcPr>
          <w:p w:rsidR="005B359F" w:rsidRPr="001733FE" w:rsidRDefault="005B359F" w:rsidP="005B359F">
            <w:r w:rsidRPr="001733FE">
              <w:rPr>
                <w:b/>
                <w:bCs/>
                <w:lang w:eastAsia="it-IT"/>
              </w:rPr>
              <w:t xml:space="preserve">Aspetti monitorati </w:t>
            </w:r>
          </w:p>
        </w:tc>
        <w:tc>
          <w:tcPr>
            <w:tcW w:w="4889" w:type="dxa"/>
          </w:tcPr>
          <w:p w:rsidR="005B359F" w:rsidRPr="001733FE" w:rsidRDefault="005B359F" w:rsidP="005B359F">
            <w:r w:rsidRPr="001733FE">
              <w:rPr>
                <w:b/>
                <w:bCs/>
                <w:lang w:eastAsia="it-IT"/>
              </w:rPr>
              <w:t>Esiti delle verifiche effettuate</w:t>
            </w:r>
          </w:p>
        </w:tc>
      </w:tr>
      <w:tr w:rsidR="005B359F" w:rsidRPr="001733FE" w:rsidTr="00E74287">
        <w:tc>
          <w:tcPr>
            <w:tcW w:w="4889" w:type="dxa"/>
          </w:tcPr>
          <w:p w:rsidR="005B359F" w:rsidRPr="001733FE" w:rsidRDefault="005B359F" w:rsidP="00E74287">
            <w:pPr>
              <w:autoSpaceDE w:val="0"/>
              <w:autoSpaceDN w:val="0"/>
              <w:adjustRightInd w:val="0"/>
              <w:spacing w:after="0" w:line="240" w:lineRule="auto"/>
            </w:pPr>
            <w:r w:rsidRPr="001733FE">
              <w:rPr>
                <w:i/>
                <w:iCs/>
                <w:lang w:eastAsia="it-IT"/>
              </w:rPr>
              <w:t xml:space="preserve">Collegamento tra obiettivi individuali e documenti di programmazione </w:t>
            </w:r>
          </w:p>
        </w:tc>
        <w:tc>
          <w:tcPr>
            <w:tcW w:w="4889" w:type="dxa"/>
          </w:tcPr>
          <w:p w:rsidR="00D5183F" w:rsidRPr="001733FE" w:rsidRDefault="005B359F" w:rsidP="004D0DCD">
            <w:pPr>
              <w:autoSpaceDE w:val="0"/>
              <w:autoSpaceDN w:val="0"/>
              <w:adjustRightInd w:val="0"/>
              <w:spacing w:after="0" w:line="240" w:lineRule="auto"/>
              <w:jc w:val="both"/>
              <w:rPr>
                <w:rFonts w:eastAsia="CenturyGothic-OneByteIdentityH"/>
                <w:lang w:eastAsia="it-IT"/>
              </w:rPr>
            </w:pPr>
            <w:r w:rsidRPr="002B0405">
              <w:rPr>
                <w:rFonts w:eastAsia="CenturyGothic-OneByteIdentityH"/>
                <w:lang w:eastAsia="it-IT"/>
              </w:rPr>
              <w:t xml:space="preserve">Il collegamento </w:t>
            </w:r>
            <w:r w:rsidR="00E6035A">
              <w:rPr>
                <w:rFonts w:eastAsia="CenturyGothic-OneByteIdentityH"/>
                <w:lang w:eastAsia="it-IT"/>
              </w:rPr>
              <w:t xml:space="preserve">tra </w:t>
            </w:r>
            <w:r w:rsidRPr="002B0405">
              <w:rPr>
                <w:rFonts w:eastAsia="CenturyGothic-OneByteIdentityH"/>
                <w:lang w:eastAsia="it-IT"/>
              </w:rPr>
              <w:t>i documenti d</w:t>
            </w:r>
            <w:r w:rsidR="009C5520" w:rsidRPr="002B0405">
              <w:rPr>
                <w:rFonts w:eastAsia="CenturyGothic-OneByteIdentityH"/>
                <w:lang w:eastAsia="it-IT"/>
              </w:rPr>
              <w:t xml:space="preserve">i programmazione triennale </w:t>
            </w:r>
            <w:r w:rsidR="00E6035A">
              <w:rPr>
                <w:rFonts w:eastAsia="CenturyGothic-OneByteIdentityH"/>
                <w:lang w:eastAsia="it-IT"/>
              </w:rPr>
              <w:t>2022-2024</w:t>
            </w:r>
            <w:r w:rsidRPr="002B0405">
              <w:rPr>
                <w:rFonts w:eastAsia="CenturyGothic-OneByteIdentityH"/>
                <w:lang w:eastAsia="it-IT"/>
              </w:rPr>
              <w:t>, è stato garantit</w:t>
            </w:r>
            <w:r w:rsidR="009C5520" w:rsidRPr="002B0405">
              <w:rPr>
                <w:rFonts w:eastAsia="CenturyGothic-OneByteIdentityH"/>
                <w:lang w:eastAsia="it-IT"/>
              </w:rPr>
              <w:t>o</w:t>
            </w:r>
            <w:r w:rsidR="00E6035A">
              <w:rPr>
                <w:rFonts w:eastAsia="CenturyGothic-OneByteIdentityH"/>
                <w:lang w:eastAsia="it-IT"/>
              </w:rPr>
              <w:t xml:space="preserve"> attraverso il </w:t>
            </w:r>
            <w:r w:rsidRPr="002B0405">
              <w:rPr>
                <w:rFonts w:eastAsia="CenturyGothic-OneByteIdentityH"/>
                <w:lang w:eastAsia="it-IT"/>
              </w:rPr>
              <w:t>raccordo:</w:t>
            </w:r>
          </w:p>
          <w:p w:rsidR="004D0DCD" w:rsidRPr="001733FE" w:rsidRDefault="004D0DCD" w:rsidP="004D0DCD">
            <w:pPr>
              <w:autoSpaceDE w:val="0"/>
              <w:autoSpaceDN w:val="0"/>
              <w:adjustRightInd w:val="0"/>
              <w:spacing w:after="0" w:line="240" w:lineRule="auto"/>
              <w:jc w:val="both"/>
              <w:rPr>
                <w:rFonts w:eastAsia="CenturyGothic-OneByteIdentityH"/>
                <w:lang w:eastAsia="it-IT"/>
              </w:rPr>
            </w:pPr>
          </w:p>
          <w:p w:rsidR="00E6035A" w:rsidRDefault="00D5183F" w:rsidP="004D0DCD">
            <w:pPr>
              <w:autoSpaceDE w:val="0"/>
              <w:autoSpaceDN w:val="0"/>
              <w:adjustRightInd w:val="0"/>
              <w:spacing w:after="0" w:line="240" w:lineRule="auto"/>
              <w:jc w:val="both"/>
              <w:rPr>
                <w:rFonts w:eastAsia="CenturyGothic-OneByteIdentityH"/>
                <w:lang w:eastAsia="it-IT"/>
              </w:rPr>
            </w:pPr>
            <w:r w:rsidRPr="004C5C7F">
              <w:rPr>
                <w:rFonts w:eastAsia="CenturyGothic-OneByteIdentityH"/>
                <w:lang w:eastAsia="it-IT"/>
              </w:rPr>
              <w:t>-</w:t>
            </w:r>
            <w:r w:rsidR="005B359F" w:rsidRPr="004C5C7F">
              <w:rPr>
                <w:rFonts w:eastAsia="CenturyGothic-OneByteIdentityH"/>
                <w:lang w:eastAsia="it-IT"/>
              </w:rPr>
              <w:t xml:space="preserve">con le misure </w:t>
            </w:r>
            <w:r w:rsidR="00E6035A">
              <w:rPr>
                <w:rFonts w:eastAsia="CenturyGothic-OneByteIdentityH"/>
                <w:lang w:eastAsia="it-IT"/>
              </w:rPr>
              <w:t>anticorruzione contenute nella sezione Rischi corruttivi e trasparenza del PAIO 2022-2024;</w:t>
            </w:r>
          </w:p>
          <w:p w:rsidR="00D5183F" w:rsidRPr="001733FE" w:rsidRDefault="00D5183F" w:rsidP="004D0DCD">
            <w:pPr>
              <w:autoSpaceDE w:val="0"/>
              <w:autoSpaceDN w:val="0"/>
              <w:adjustRightInd w:val="0"/>
              <w:spacing w:after="0" w:line="240" w:lineRule="auto"/>
              <w:jc w:val="both"/>
              <w:rPr>
                <w:rFonts w:eastAsia="CenturyGothic-OneByteIdentityH"/>
                <w:lang w:eastAsia="it-IT"/>
              </w:rPr>
            </w:pPr>
          </w:p>
          <w:p w:rsidR="008279F3" w:rsidRDefault="002B34CB" w:rsidP="004D0DCD">
            <w:pPr>
              <w:autoSpaceDE w:val="0"/>
              <w:autoSpaceDN w:val="0"/>
              <w:adjustRightInd w:val="0"/>
              <w:spacing w:after="0" w:line="240" w:lineRule="auto"/>
              <w:jc w:val="both"/>
              <w:rPr>
                <w:sz w:val="24"/>
                <w:szCs w:val="24"/>
              </w:rPr>
            </w:pPr>
            <w:r w:rsidRPr="008279F3">
              <w:rPr>
                <w:rFonts w:eastAsia="CenturyGothic-OneByteIdentityH"/>
                <w:lang w:eastAsia="it-IT"/>
              </w:rPr>
              <w:t>-</w:t>
            </w:r>
            <w:r w:rsidR="005B359F" w:rsidRPr="008279F3">
              <w:rPr>
                <w:rFonts w:eastAsia="CenturyGothic-OneByteIdentityH"/>
                <w:lang w:eastAsia="it-IT"/>
              </w:rPr>
              <w:t xml:space="preserve">con gli </w:t>
            </w:r>
            <w:r w:rsidRPr="008279F3">
              <w:rPr>
                <w:rFonts w:eastAsia="CenturyGothic-OneByteIdentityH"/>
                <w:lang w:eastAsia="it-IT"/>
              </w:rPr>
              <w:t>indirizz</w:t>
            </w:r>
            <w:r w:rsidR="000D250D" w:rsidRPr="008279F3">
              <w:rPr>
                <w:rFonts w:eastAsia="CenturyGothic-OneByteIdentityH"/>
                <w:lang w:eastAsia="it-IT"/>
              </w:rPr>
              <w:t>i e gli obiettivi</w:t>
            </w:r>
            <w:r w:rsidR="002C7C97" w:rsidRPr="008279F3">
              <w:rPr>
                <w:rFonts w:eastAsia="CenturyGothic-OneByteIdentityH"/>
                <w:lang w:eastAsia="it-IT"/>
              </w:rPr>
              <w:t xml:space="preserve"> strategici e operativi delle Missioni del Dup </w:t>
            </w:r>
            <w:r w:rsidR="00E6035A">
              <w:rPr>
                <w:rFonts w:eastAsia="CenturyGothic-OneByteIdentityH"/>
                <w:lang w:eastAsia="it-IT"/>
              </w:rPr>
              <w:t xml:space="preserve">2022-2024 </w:t>
            </w:r>
            <w:r w:rsidR="005B359F" w:rsidRPr="008279F3">
              <w:rPr>
                <w:rFonts w:eastAsia="CenturyGothic-OneByteIdentityH"/>
                <w:lang w:eastAsia="it-IT"/>
              </w:rPr>
              <w:t>(cfr. SeS –</w:t>
            </w:r>
            <w:r w:rsidR="002C7C97" w:rsidRPr="008279F3">
              <w:rPr>
                <w:rFonts w:eastAsia="CenturyGothic-OneByteIdentityH"/>
                <w:lang w:eastAsia="it-IT"/>
              </w:rPr>
              <w:t xml:space="preserve"> Missioni e Programmi) in quanto </w:t>
            </w:r>
            <w:r w:rsidR="00E6035A" w:rsidRPr="00E6035A">
              <w:rPr>
                <w:rFonts w:eastAsia="CenturyGothic-OneByteIdentityH"/>
                <w:lang w:eastAsia="it-IT"/>
              </w:rPr>
              <w:t>nella prima stesura del PIAO 2022-2024 della Città metropolitana di Venezia si è ritenuto opportuno identificare la creazione di valore pubblico con la realizzazione degli obiettivi strategici e operativi contenuti DUP 2022-2024.</w:t>
            </w:r>
          </w:p>
          <w:p w:rsidR="00E6035A" w:rsidRPr="008279F3" w:rsidRDefault="00E6035A" w:rsidP="004D0DCD">
            <w:pPr>
              <w:autoSpaceDE w:val="0"/>
              <w:autoSpaceDN w:val="0"/>
              <w:adjustRightInd w:val="0"/>
              <w:spacing w:after="0" w:line="240" w:lineRule="auto"/>
              <w:jc w:val="both"/>
              <w:rPr>
                <w:rFonts w:eastAsia="CenturyGothic-OneByteIdentityH"/>
                <w:lang w:eastAsia="it-IT"/>
              </w:rPr>
            </w:pPr>
          </w:p>
          <w:p w:rsidR="000D250D" w:rsidRPr="00E87349" w:rsidRDefault="005A4EF3" w:rsidP="004D0DCD">
            <w:pPr>
              <w:autoSpaceDE w:val="0"/>
              <w:autoSpaceDN w:val="0"/>
              <w:adjustRightInd w:val="0"/>
              <w:spacing w:after="0" w:line="240" w:lineRule="auto"/>
              <w:jc w:val="both"/>
              <w:rPr>
                <w:rFonts w:eastAsia="CenturyGothic-OneByteIdentityH"/>
                <w:lang w:eastAsia="it-IT"/>
              </w:rPr>
            </w:pPr>
            <w:r>
              <w:rPr>
                <w:rFonts w:eastAsia="CenturyGothic-OneByteIdentityH"/>
                <w:lang w:eastAsia="it-IT"/>
              </w:rPr>
              <w:t>Nella sezione Performance del PIAO</w:t>
            </w:r>
            <w:r w:rsidR="002C7C97">
              <w:rPr>
                <w:rFonts w:eastAsia="CenturyGothic-OneByteIdentityH"/>
                <w:lang w:eastAsia="it-IT"/>
              </w:rPr>
              <w:t xml:space="preserve"> gli obiettivi esecutivi rappresentati dagli “Obiettivi gestionali” attuano gli Obiettivi operativi dei Programmi del Dup e questo raccordo è formalmente esplicitato attraverso il legame tra obiettivo operativo “padre”– obiettivo gestionale “figlio”.</w:t>
            </w:r>
          </w:p>
          <w:p w:rsidR="003979E8" w:rsidRPr="00E87349" w:rsidRDefault="003979E8" w:rsidP="004D0DCD">
            <w:pPr>
              <w:autoSpaceDE w:val="0"/>
              <w:autoSpaceDN w:val="0"/>
              <w:adjustRightInd w:val="0"/>
              <w:spacing w:after="0" w:line="240" w:lineRule="auto"/>
              <w:jc w:val="both"/>
              <w:rPr>
                <w:rFonts w:eastAsia="CenturyGothic-OneByteIdentityH"/>
                <w:lang w:eastAsia="it-IT"/>
              </w:rPr>
            </w:pPr>
          </w:p>
          <w:p w:rsidR="003979E8" w:rsidRPr="001733FE" w:rsidRDefault="002C7C97" w:rsidP="004D0DCD">
            <w:pPr>
              <w:autoSpaceDE w:val="0"/>
              <w:autoSpaceDN w:val="0"/>
              <w:adjustRightInd w:val="0"/>
              <w:spacing w:after="0" w:line="240" w:lineRule="auto"/>
              <w:jc w:val="both"/>
              <w:rPr>
                <w:rFonts w:eastAsia="CenturyGothic-OneByteIdentityH"/>
                <w:lang w:eastAsia="it-IT"/>
              </w:rPr>
            </w:pPr>
            <w:r>
              <w:rPr>
                <w:rFonts w:eastAsia="CenturyGothic-OneByteIdentityH"/>
                <w:lang w:eastAsia="it-IT"/>
              </w:rPr>
              <w:t xml:space="preserve">L’approvazione del Piano strategico metropolitano, approvato a </w:t>
            </w:r>
            <w:r w:rsidRPr="00484215">
              <w:rPr>
                <w:rFonts w:eastAsia="CenturyGothic-OneByteIdentityH"/>
                <w:lang w:eastAsia="it-IT"/>
              </w:rPr>
              <w:t>dicembre 2018</w:t>
            </w:r>
            <w:r>
              <w:rPr>
                <w:rFonts w:eastAsia="CenturyGothic-OneByteIdentityH"/>
                <w:lang w:eastAsia="it-IT"/>
              </w:rPr>
              <w:t xml:space="preserve"> ha imposto la strutturazione degli obiettivi strategici ed operativi del </w:t>
            </w:r>
            <w:r w:rsidRPr="00484215">
              <w:rPr>
                <w:rFonts w:eastAsia="CenturyGothic-OneByteIdentityH"/>
                <w:lang w:eastAsia="it-IT"/>
              </w:rPr>
              <w:t xml:space="preserve">DUP </w:t>
            </w:r>
            <w:r w:rsidR="00553397">
              <w:rPr>
                <w:rFonts w:eastAsia="CenturyGothic-OneByteIdentityH"/>
                <w:lang w:eastAsia="it-IT"/>
              </w:rPr>
              <w:t>2022-2024</w:t>
            </w:r>
            <w:r w:rsidR="00484215" w:rsidRPr="00484215">
              <w:rPr>
                <w:rFonts w:eastAsia="CenturyGothic-OneByteIdentityH"/>
                <w:lang w:eastAsia="it-IT"/>
              </w:rPr>
              <w:t xml:space="preserve">  </w:t>
            </w:r>
            <w:r w:rsidRPr="00484215">
              <w:rPr>
                <w:rFonts w:eastAsia="CenturyGothic-OneByteIdentityH"/>
                <w:lang w:eastAsia="it-IT"/>
              </w:rPr>
              <w:t xml:space="preserve">in stretta correlazione con le linee di indirizzo del </w:t>
            </w:r>
            <w:r w:rsidR="00553397">
              <w:rPr>
                <w:rFonts w:eastAsia="CenturyGothic-OneByteIdentityH"/>
                <w:lang w:eastAsia="it-IT"/>
              </w:rPr>
              <w:t>PSM, in attesa dell’aggiornamento del Piano, che avverrà presumibilmente nel corso del 2023.</w:t>
            </w:r>
          </w:p>
          <w:p w:rsidR="005B359F" w:rsidRPr="001733FE" w:rsidRDefault="005B359F" w:rsidP="003979E8">
            <w:pPr>
              <w:autoSpaceDE w:val="0"/>
              <w:autoSpaceDN w:val="0"/>
              <w:adjustRightInd w:val="0"/>
              <w:spacing w:after="0" w:line="240" w:lineRule="auto"/>
              <w:jc w:val="both"/>
            </w:pPr>
          </w:p>
        </w:tc>
      </w:tr>
      <w:tr w:rsidR="005B359F" w:rsidRPr="001733FE" w:rsidTr="00E74287">
        <w:tc>
          <w:tcPr>
            <w:tcW w:w="4889" w:type="dxa"/>
          </w:tcPr>
          <w:p w:rsidR="005B359F" w:rsidRPr="001733FE" w:rsidRDefault="00C2329A" w:rsidP="00E74287">
            <w:pPr>
              <w:autoSpaceDE w:val="0"/>
              <w:autoSpaceDN w:val="0"/>
              <w:adjustRightInd w:val="0"/>
              <w:spacing w:after="0" w:line="240" w:lineRule="auto"/>
            </w:pPr>
            <w:r w:rsidRPr="001733FE">
              <w:rPr>
                <w:i/>
                <w:iCs/>
                <w:lang w:eastAsia="it-IT"/>
              </w:rPr>
              <w:t>Modalità di assegnazione degli obiettivi individuali</w:t>
            </w:r>
          </w:p>
        </w:tc>
        <w:tc>
          <w:tcPr>
            <w:tcW w:w="4889" w:type="dxa"/>
          </w:tcPr>
          <w:p w:rsidR="00C2329A" w:rsidRPr="001733FE" w:rsidRDefault="00C2329A" w:rsidP="00E74287">
            <w:pPr>
              <w:autoSpaceDE w:val="0"/>
              <w:autoSpaceDN w:val="0"/>
              <w:adjustRightInd w:val="0"/>
              <w:spacing w:after="0" w:line="240" w:lineRule="auto"/>
              <w:rPr>
                <w:rFonts w:eastAsia="CenturyGothic-OneByteIdentityH"/>
                <w:lang w:eastAsia="it-IT"/>
              </w:rPr>
            </w:pPr>
            <w:r w:rsidRPr="001733FE">
              <w:rPr>
                <w:rFonts w:eastAsia="CenturyGothic-OneByteIdentityH"/>
                <w:lang w:eastAsia="it-IT"/>
              </w:rPr>
              <w:t xml:space="preserve">Gli obiettivi </w:t>
            </w:r>
            <w:r w:rsidR="003C7846" w:rsidRPr="001733FE">
              <w:rPr>
                <w:rFonts w:eastAsia="CenturyGothic-OneByteIdentityH"/>
                <w:lang w:eastAsia="it-IT"/>
              </w:rPr>
              <w:t xml:space="preserve">individuali </w:t>
            </w:r>
            <w:r w:rsidRPr="001733FE">
              <w:rPr>
                <w:rFonts w:eastAsia="CenturyGothic-OneByteIdentityH"/>
                <w:lang w:eastAsia="it-IT"/>
              </w:rPr>
              <w:t xml:space="preserve">sono </w:t>
            </w:r>
            <w:r w:rsidR="001B5022" w:rsidRPr="001733FE">
              <w:rPr>
                <w:rFonts w:eastAsia="CenturyGothic-OneByteIdentityH"/>
                <w:lang w:eastAsia="it-IT"/>
              </w:rPr>
              <w:t xml:space="preserve">direttamente </w:t>
            </w:r>
            <w:r w:rsidR="00C60A4F" w:rsidRPr="001733FE">
              <w:rPr>
                <w:rFonts w:eastAsia="CenturyGothic-OneByteIdentityH"/>
                <w:lang w:eastAsia="it-IT"/>
              </w:rPr>
              <w:t xml:space="preserve">riferibili </w:t>
            </w:r>
            <w:r w:rsidRPr="001733FE">
              <w:rPr>
                <w:rFonts w:eastAsia="CenturyGothic-OneByteIdentityH"/>
                <w:lang w:eastAsia="it-IT"/>
              </w:rPr>
              <w:t>ai dirigenti</w:t>
            </w:r>
            <w:r w:rsidR="00C60A4F" w:rsidRPr="001733FE">
              <w:rPr>
                <w:rFonts w:eastAsia="CenturyGothic-OneByteIdentityH"/>
                <w:lang w:eastAsia="it-IT"/>
              </w:rPr>
              <w:t xml:space="preserve"> attraver</w:t>
            </w:r>
            <w:r w:rsidR="00553397">
              <w:rPr>
                <w:rFonts w:eastAsia="CenturyGothic-OneByteIdentityH"/>
                <w:lang w:eastAsia="it-IT"/>
              </w:rPr>
              <w:t xml:space="preserve">so le corrispondenze dettate </w:t>
            </w:r>
            <w:r w:rsidR="00553397">
              <w:rPr>
                <w:rFonts w:eastAsia="CenturyGothic-OneByteIdentityH"/>
                <w:lang w:eastAsia="it-IT"/>
              </w:rPr>
              <w:lastRenderedPageBreak/>
              <w:t>dalla sezione Performance del Piao</w:t>
            </w:r>
            <w:r w:rsidRPr="001733FE">
              <w:rPr>
                <w:rFonts w:eastAsia="CenturyGothic-OneByteIdentityH"/>
                <w:lang w:eastAsia="it-IT"/>
              </w:rPr>
              <w:t>, che a l</w:t>
            </w:r>
            <w:r w:rsidR="0068249E" w:rsidRPr="001733FE">
              <w:rPr>
                <w:rFonts w:eastAsia="CenturyGothic-OneByteIdentityH"/>
                <w:lang w:eastAsia="it-IT"/>
              </w:rPr>
              <w:t xml:space="preserve">oro volta li </w:t>
            </w:r>
            <w:r w:rsidR="001B5022" w:rsidRPr="001733FE">
              <w:rPr>
                <w:rFonts w:eastAsia="CenturyGothic-OneByteIdentityH"/>
                <w:lang w:eastAsia="it-IT"/>
              </w:rPr>
              <w:t>assegnan</w:t>
            </w:r>
            <w:r w:rsidR="003C7846" w:rsidRPr="001733FE">
              <w:rPr>
                <w:rFonts w:eastAsia="CenturyGothic-OneByteIdentityH"/>
                <w:lang w:eastAsia="it-IT"/>
              </w:rPr>
              <w:t>o</w:t>
            </w:r>
            <w:r w:rsidR="0068249E" w:rsidRPr="001733FE">
              <w:rPr>
                <w:rFonts w:eastAsia="CenturyGothic-OneByteIdentityH"/>
                <w:lang w:eastAsia="it-IT"/>
              </w:rPr>
              <w:t xml:space="preserve"> ai funzionari subord</w:t>
            </w:r>
            <w:r w:rsidR="003C7846" w:rsidRPr="001733FE">
              <w:rPr>
                <w:rFonts w:eastAsia="CenturyGothic-OneByteIdentityH"/>
                <w:lang w:eastAsia="it-IT"/>
              </w:rPr>
              <w:t>inati e al resto dei dipendenti senza schema predefinito.</w:t>
            </w:r>
          </w:p>
          <w:p w:rsidR="005B359F" w:rsidRPr="001733FE" w:rsidRDefault="005B359F" w:rsidP="00E74287">
            <w:pPr>
              <w:autoSpaceDE w:val="0"/>
              <w:autoSpaceDN w:val="0"/>
              <w:adjustRightInd w:val="0"/>
              <w:spacing w:after="0" w:line="240" w:lineRule="auto"/>
            </w:pPr>
          </w:p>
        </w:tc>
      </w:tr>
    </w:tbl>
    <w:p w:rsidR="005B359F" w:rsidRPr="001733FE" w:rsidRDefault="005B359F" w:rsidP="005B359F"/>
    <w:p w:rsidR="000B0D66" w:rsidRPr="001733FE" w:rsidRDefault="008250AC" w:rsidP="005B359F">
      <w:pPr>
        <w:rPr>
          <w:b/>
          <w:bCs/>
          <w:lang w:eastAsia="it-IT"/>
        </w:rPr>
      </w:pPr>
      <w:r w:rsidRPr="001733FE">
        <w:rPr>
          <w:b/>
          <w:bCs/>
          <w:lang w:eastAsia="it-IT"/>
        </w:rPr>
        <w:t>2.5</w:t>
      </w:r>
      <w:r w:rsidR="000B0D66" w:rsidRPr="001733FE">
        <w:rPr>
          <w:b/>
          <w:bCs/>
          <w:lang w:eastAsia="it-IT"/>
        </w:rPr>
        <w:t>._ Definizione dei comportamenti organizzativi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89"/>
        <w:gridCol w:w="4889"/>
      </w:tblGrid>
      <w:tr w:rsidR="000B0D66" w:rsidRPr="001733FE" w:rsidTr="00E74287">
        <w:tc>
          <w:tcPr>
            <w:tcW w:w="4889" w:type="dxa"/>
          </w:tcPr>
          <w:p w:rsidR="000B0D66" w:rsidRPr="001733FE" w:rsidRDefault="000B0D66" w:rsidP="000B0D66">
            <w:r w:rsidRPr="001733FE">
              <w:rPr>
                <w:b/>
                <w:bCs/>
                <w:lang w:eastAsia="it-IT"/>
              </w:rPr>
              <w:t xml:space="preserve">Aspetti monitorati </w:t>
            </w:r>
          </w:p>
        </w:tc>
        <w:tc>
          <w:tcPr>
            <w:tcW w:w="4889" w:type="dxa"/>
          </w:tcPr>
          <w:p w:rsidR="000B0D66" w:rsidRPr="001733FE" w:rsidRDefault="000B0D66" w:rsidP="000B0D66">
            <w:r w:rsidRPr="001733FE">
              <w:rPr>
                <w:b/>
                <w:bCs/>
                <w:lang w:eastAsia="it-IT"/>
              </w:rPr>
              <w:t>Esiti delle verifiche effettuate</w:t>
            </w:r>
          </w:p>
        </w:tc>
      </w:tr>
      <w:tr w:rsidR="000B0D66" w:rsidRPr="001733FE" w:rsidTr="00E74287">
        <w:tc>
          <w:tcPr>
            <w:tcW w:w="4889" w:type="dxa"/>
          </w:tcPr>
          <w:p w:rsidR="000B0D66" w:rsidRPr="001733FE" w:rsidRDefault="00F54638" w:rsidP="00F54638">
            <w:r w:rsidRPr="001733FE">
              <w:rPr>
                <w:i/>
                <w:iCs/>
                <w:lang w:eastAsia="it-IT"/>
              </w:rPr>
              <w:t>Modalità di rappresentazione dei comportamenti organizzativi</w:t>
            </w:r>
          </w:p>
        </w:tc>
        <w:tc>
          <w:tcPr>
            <w:tcW w:w="4889" w:type="dxa"/>
          </w:tcPr>
          <w:p w:rsidR="00484215" w:rsidRDefault="00484215" w:rsidP="004D0DCD">
            <w:pPr>
              <w:autoSpaceDE w:val="0"/>
              <w:autoSpaceDN w:val="0"/>
              <w:adjustRightInd w:val="0"/>
              <w:spacing w:after="0" w:line="240" w:lineRule="auto"/>
              <w:jc w:val="both"/>
              <w:rPr>
                <w:rFonts w:eastAsia="CenturyGothic-OneByteIdentityH"/>
                <w:lang w:eastAsia="it-IT"/>
              </w:rPr>
            </w:pPr>
            <w:r w:rsidRPr="00484215">
              <w:rPr>
                <w:rFonts w:eastAsia="CenturyGothic-OneByteIdentityH"/>
                <w:lang w:eastAsia="it-IT"/>
              </w:rPr>
              <w:t>Il nuovo Sistema di misurazione e valutazione (SMVP) è stato approvato con decreto del sindaco metropolitano n. 100 del 9/12/2019.</w:t>
            </w:r>
          </w:p>
          <w:p w:rsidR="00484215" w:rsidRDefault="00484215" w:rsidP="004D0DCD">
            <w:pPr>
              <w:autoSpaceDE w:val="0"/>
              <w:autoSpaceDN w:val="0"/>
              <w:adjustRightInd w:val="0"/>
              <w:spacing w:after="0" w:line="240" w:lineRule="auto"/>
              <w:jc w:val="both"/>
              <w:rPr>
                <w:rFonts w:eastAsia="CenturyGothic-OneByteIdentityH"/>
                <w:lang w:eastAsia="it-IT"/>
              </w:rPr>
            </w:pPr>
          </w:p>
          <w:p w:rsidR="00484215" w:rsidRDefault="00484215" w:rsidP="004D0DCD">
            <w:pPr>
              <w:autoSpaceDE w:val="0"/>
              <w:autoSpaceDN w:val="0"/>
              <w:adjustRightInd w:val="0"/>
              <w:spacing w:after="0" w:line="240" w:lineRule="auto"/>
              <w:jc w:val="both"/>
              <w:rPr>
                <w:rFonts w:eastAsia="CenturyGothic-OneByteIdentityH"/>
                <w:lang w:eastAsia="it-IT"/>
              </w:rPr>
            </w:pPr>
            <w:r>
              <w:rPr>
                <w:sz w:val="24"/>
                <w:szCs w:val="24"/>
              </w:rPr>
              <w:t>I</w:t>
            </w:r>
            <w:r w:rsidRPr="00484215">
              <w:rPr>
                <w:rFonts w:eastAsia="CenturyGothic-OneByteIdentityH"/>
                <w:lang w:eastAsia="it-IT"/>
              </w:rPr>
              <w:t>l ruolo del Nucleo, per questo ambito, è quello di garantire la corretta applicazione del processo e degli strumenti previsti dal sistema di valutazione nonché la verifica della differenziazione dei giudizi espressi dai valutatori.</w:t>
            </w:r>
          </w:p>
          <w:p w:rsidR="00484215" w:rsidRDefault="00484215" w:rsidP="004D0DCD">
            <w:pPr>
              <w:autoSpaceDE w:val="0"/>
              <w:autoSpaceDN w:val="0"/>
              <w:adjustRightInd w:val="0"/>
              <w:spacing w:after="0" w:line="240" w:lineRule="auto"/>
              <w:jc w:val="both"/>
              <w:rPr>
                <w:rFonts w:eastAsia="CenturyGothic-OneByteIdentityH"/>
                <w:lang w:eastAsia="it-IT"/>
              </w:rPr>
            </w:pPr>
          </w:p>
          <w:p w:rsidR="00484215" w:rsidRDefault="00484215" w:rsidP="00484215">
            <w:pPr>
              <w:autoSpaceDE w:val="0"/>
              <w:autoSpaceDN w:val="0"/>
              <w:adjustRightInd w:val="0"/>
              <w:spacing w:after="0" w:line="240" w:lineRule="auto"/>
              <w:jc w:val="both"/>
              <w:rPr>
                <w:rFonts w:eastAsia="CenturyGothic-OneByteIdentityH"/>
                <w:lang w:eastAsia="it-IT"/>
              </w:rPr>
            </w:pPr>
            <w:r w:rsidRPr="00484215">
              <w:rPr>
                <w:rFonts w:eastAsia="CenturyGothic-OneByteIdentityH"/>
                <w:lang w:eastAsia="it-IT"/>
              </w:rPr>
              <w:t>La performance organizzativa riguarda l’insieme degli obiettivi strategici e operativi, assegnati ai dirigenti ed alla cui realizzazione partecipano i diversi appartenenti alle strutture di riferimento</w:t>
            </w:r>
            <w:r>
              <w:rPr>
                <w:rFonts w:eastAsia="CenturyGothic-OneByteIdentityH"/>
                <w:lang w:eastAsia="it-IT"/>
              </w:rPr>
              <w:t>.</w:t>
            </w:r>
          </w:p>
          <w:p w:rsidR="00484215" w:rsidRDefault="00484215" w:rsidP="00484215">
            <w:pPr>
              <w:autoSpaceDE w:val="0"/>
              <w:autoSpaceDN w:val="0"/>
              <w:adjustRightInd w:val="0"/>
              <w:spacing w:after="0" w:line="240" w:lineRule="auto"/>
              <w:jc w:val="both"/>
              <w:rPr>
                <w:rFonts w:eastAsia="CenturyGothic-OneByteIdentityH"/>
                <w:lang w:eastAsia="it-IT"/>
              </w:rPr>
            </w:pPr>
          </w:p>
          <w:p w:rsidR="00484215" w:rsidRDefault="00484215" w:rsidP="00484215">
            <w:pPr>
              <w:autoSpaceDE w:val="0"/>
              <w:autoSpaceDN w:val="0"/>
              <w:adjustRightInd w:val="0"/>
              <w:spacing w:after="0" w:line="240" w:lineRule="auto"/>
              <w:jc w:val="both"/>
              <w:rPr>
                <w:rFonts w:eastAsia="CenturyGothic-OneByteIdentityH"/>
                <w:lang w:eastAsia="it-IT"/>
              </w:rPr>
            </w:pPr>
            <w:r>
              <w:rPr>
                <w:rFonts w:eastAsia="CenturyGothic-OneByteIdentityH"/>
                <w:lang w:eastAsia="it-IT"/>
              </w:rPr>
              <w:t>Da un lato</w:t>
            </w:r>
            <w:r w:rsidRPr="00484215">
              <w:rPr>
                <w:rFonts w:eastAsia="CenturyGothic-OneByteIdentityH"/>
                <w:lang w:eastAsia="it-IT"/>
              </w:rPr>
              <w:t xml:space="preserve">, il grado medio di conseguimento di tutti gli obiettivi della performance organizzativa consente di determinare la performance dell’Ente; dall’altro, il grado di conseguimento dei singoli obiettivi di performance organizzativa </w:t>
            </w:r>
            <w:r>
              <w:rPr>
                <w:rFonts w:eastAsia="CenturyGothic-OneByteIdentityH"/>
                <w:lang w:eastAsia="it-IT"/>
              </w:rPr>
              <w:t>ha</w:t>
            </w:r>
            <w:r w:rsidRPr="00484215">
              <w:rPr>
                <w:rFonts w:eastAsia="CenturyGothic-OneByteIdentityH"/>
                <w:lang w:eastAsia="it-IT"/>
              </w:rPr>
              <w:t xml:space="preserve"> effetto, diretto od indiretto, sulla premialità di tutti coloro che vi contribuiscono. </w:t>
            </w:r>
          </w:p>
          <w:p w:rsidR="00484215" w:rsidRDefault="00484215" w:rsidP="00484215">
            <w:pPr>
              <w:autoSpaceDE w:val="0"/>
              <w:autoSpaceDN w:val="0"/>
              <w:adjustRightInd w:val="0"/>
              <w:spacing w:after="0" w:line="240" w:lineRule="auto"/>
              <w:jc w:val="both"/>
              <w:rPr>
                <w:rFonts w:eastAsia="CenturyGothic-OneByteIdentityH"/>
                <w:lang w:eastAsia="it-IT"/>
              </w:rPr>
            </w:pPr>
          </w:p>
          <w:p w:rsidR="00570B4A" w:rsidRPr="00484215" w:rsidRDefault="00570B4A" w:rsidP="00484215">
            <w:pPr>
              <w:autoSpaceDE w:val="0"/>
              <w:autoSpaceDN w:val="0"/>
              <w:adjustRightInd w:val="0"/>
              <w:spacing w:after="0" w:line="240" w:lineRule="auto"/>
              <w:jc w:val="both"/>
              <w:rPr>
                <w:rFonts w:eastAsia="CenturyGothic-OneByteIdentityH"/>
                <w:lang w:eastAsia="it-IT"/>
              </w:rPr>
            </w:pPr>
          </w:p>
          <w:p w:rsidR="00484215" w:rsidRPr="00484215" w:rsidRDefault="00484215" w:rsidP="00484215">
            <w:pPr>
              <w:autoSpaceDE w:val="0"/>
              <w:autoSpaceDN w:val="0"/>
              <w:adjustRightInd w:val="0"/>
              <w:spacing w:after="0" w:line="240" w:lineRule="auto"/>
              <w:jc w:val="both"/>
              <w:rPr>
                <w:rFonts w:eastAsia="CenturyGothic-OneByteIdentityH"/>
                <w:lang w:eastAsia="it-IT"/>
              </w:rPr>
            </w:pPr>
            <w:r w:rsidRPr="00484215">
              <w:rPr>
                <w:rFonts w:eastAsia="CenturyGothic-OneByteIdentityH"/>
                <w:lang w:eastAsia="it-IT"/>
              </w:rPr>
              <w:t>Sotto il profilo temporale, la performance organizzativa viene misurata e valutata annualmente sulla base delle risultanze degli indicatori degli obiettivi operativi e gestionali previsti nella Sezione Operativa (SeO) del DUP rispetto ai corrispondenti target; viene invece misurata e valutata, per l’intero mandato, a conclusione dell’ultimo esercizio di riferimento, sulla base delle risultanze degli specifici indicatori connessi agli obiettivi strategici previsti nella Sezione Strategica (SeS) del DUP.</w:t>
            </w:r>
          </w:p>
          <w:p w:rsidR="000B0D66" w:rsidRPr="001733FE" w:rsidRDefault="000B0D66" w:rsidP="004D0DCD">
            <w:pPr>
              <w:autoSpaceDE w:val="0"/>
              <w:autoSpaceDN w:val="0"/>
              <w:adjustRightInd w:val="0"/>
              <w:spacing w:after="0" w:line="240" w:lineRule="auto"/>
              <w:jc w:val="both"/>
              <w:rPr>
                <w:rFonts w:eastAsia="CenturyGothic-OneByteIdentityH"/>
                <w:lang w:eastAsia="it-IT"/>
              </w:rPr>
            </w:pPr>
          </w:p>
        </w:tc>
      </w:tr>
      <w:tr w:rsidR="000B0D66" w:rsidRPr="001733FE" w:rsidTr="00E74287">
        <w:tc>
          <w:tcPr>
            <w:tcW w:w="4889" w:type="dxa"/>
          </w:tcPr>
          <w:p w:rsidR="00F54638" w:rsidRPr="001733FE" w:rsidRDefault="00F54638" w:rsidP="00E74287">
            <w:pPr>
              <w:autoSpaceDE w:val="0"/>
              <w:autoSpaceDN w:val="0"/>
              <w:adjustRightInd w:val="0"/>
              <w:spacing w:after="0" w:line="240" w:lineRule="auto"/>
              <w:rPr>
                <w:i/>
                <w:iCs/>
                <w:lang w:eastAsia="it-IT"/>
              </w:rPr>
            </w:pPr>
            <w:r w:rsidRPr="001733FE">
              <w:rPr>
                <w:i/>
                <w:iCs/>
                <w:lang w:eastAsia="it-IT"/>
              </w:rPr>
              <w:t xml:space="preserve">Modalità di </w:t>
            </w:r>
            <w:r w:rsidR="00570B4A">
              <w:rPr>
                <w:i/>
                <w:iCs/>
                <w:lang w:eastAsia="it-IT"/>
              </w:rPr>
              <w:t>valutazione</w:t>
            </w:r>
            <w:r w:rsidRPr="001733FE">
              <w:rPr>
                <w:i/>
                <w:iCs/>
                <w:lang w:eastAsia="it-IT"/>
              </w:rPr>
              <w:t xml:space="preserve"> dei comportamenti</w:t>
            </w:r>
          </w:p>
          <w:p w:rsidR="000B0D66" w:rsidRPr="001733FE" w:rsidRDefault="00F54638" w:rsidP="00F54638">
            <w:r w:rsidRPr="001733FE">
              <w:rPr>
                <w:i/>
                <w:iCs/>
                <w:lang w:eastAsia="it-IT"/>
              </w:rPr>
              <w:t>organizzativi</w:t>
            </w:r>
          </w:p>
        </w:tc>
        <w:tc>
          <w:tcPr>
            <w:tcW w:w="4889" w:type="dxa"/>
          </w:tcPr>
          <w:p w:rsidR="00570B4A" w:rsidRPr="00570B4A" w:rsidRDefault="00570B4A" w:rsidP="00570B4A">
            <w:pPr>
              <w:autoSpaceDE w:val="0"/>
              <w:autoSpaceDN w:val="0"/>
              <w:adjustRightInd w:val="0"/>
              <w:spacing w:after="0" w:line="240" w:lineRule="auto"/>
              <w:jc w:val="both"/>
              <w:rPr>
                <w:rFonts w:eastAsia="CenturyGothic-OneByteIdentityH"/>
                <w:lang w:eastAsia="it-IT"/>
              </w:rPr>
            </w:pPr>
            <w:r w:rsidRPr="00570B4A">
              <w:rPr>
                <w:rFonts w:eastAsia="CenturyGothic-OneByteIdentityH"/>
                <w:lang w:eastAsia="it-IT"/>
              </w:rPr>
              <w:t xml:space="preserve">In merito ai ruoli coinvolti nel processo di valutazione, sostanzialmente spetta al NdV presidiare la valutazione di tutti gli obiettivi (gestionali e operativi) sulla scorta delle risultanze del controllo di gestione riassunte in apposito Referto, mentre la valutazione dei comportamenti organizzativi è fatta in linea gerarchica sulla base </w:t>
            </w:r>
            <w:r w:rsidRPr="00570B4A">
              <w:rPr>
                <w:rFonts w:eastAsia="CenturyGothic-OneByteIdentityH"/>
                <w:lang w:eastAsia="it-IT"/>
              </w:rPr>
              <w:lastRenderedPageBreak/>
              <w:t xml:space="preserve">dei fattori predefiniti: spetta al DG effettuare la valutazione dei comportamenti organizzativi dei dirigenti ed ai dirigenti effettuare la valutazione di quelli dei collaboratori. Il ruolo del NdV, per questo ambito, è di garantire la corretta applicazione del processo e degli strumenti definiti nonché la verifica della differenziazione dei giudizi espressi dai valutatori. </w:t>
            </w:r>
          </w:p>
          <w:p w:rsidR="000B0D66" w:rsidRPr="001733FE" w:rsidRDefault="000B0D66" w:rsidP="00F23456">
            <w:pPr>
              <w:autoSpaceDE w:val="0"/>
              <w:autoSpaceDN w:val="0"/>
              <w:adjustRightInd w:val="0"/>
              <w:spacing w:after="0" w:line="240" w:lineRule="auto"/>
              <w:jc w:val="both"/>
            </w:pPr>
          </w:p>
        </w:tc>
      </w:tr>
    </w:tbl>
    <w:p w:rsidR="001733FE" w:rsidRDefault="001733FE" w:rsidP="005B359F"/>
    <w:p w:rsidR="000B0D66" w:rsidRPr="001733FE" w:rsidRDefault="008250AC" w:rsidP="005B359F">
      <w:pPr>
        <w:rPr>
          <w:b/>
          <w:bCs/>
          <w:lang w:eastAsia="it-IT"/>
        </w:rPr>
      </w:pPr>
      <w:r w:rsidRPr="001733FE">
        <w:rPr>
          <w:b/>
          <w:bCs/>
          <w:lang w:eastAsia="it-IT"/>
        </w:rPr>
        <w:t>2.6</w:t>
      </w:r>
      <w:r w:rsidR="000B0D66" w:rsidRPr="001733FE">
        <w:rPr>
          <w:b/>
          <w:bCs/>
          <w:lang w:eastAsia="it-IT"/>
        </w:rPr>
        <w:t>._ Misurazione e valutazione della performance organizzativa e individuale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89"/>
        <w:gridCol w:w="4889"/>
      </w:tblGrid>
      <w:tr w:rsidR="000B0D66" w:rsidRPr="001733FE" w:rsidTr="00E74287">
        <w:tc>
          <w:tcPr>
            <w:tcW w:w="4889" w:type="dxa"/>
          </w:tcPr>
          <w:p w:rsidR="000B0D66" w:rsidRPr="001733FE" w:rsidRDefault="000B0D66" w:rsidP="000B0D66">
            <w:r w:rsidRPr="001733FE">
              <w:rPr>
                <w:b/>
                <w:bCs/>
                <w:lang w:eastAsia="it-IT"/>
              </w:rPr>
              <w:t xml:space="preserve">Aspetti monitorati </w:t>
            </w:r>
          </w:p>
        </w:tc>
        <w:tc>
          <w:tcPr>
            <w:tcW w:w="4889" w:type="dxa"/>
          </w:tcPr>
          <w:p w:rsidR="000B0D66" w:rsidRPr="001733FE" w:rsidRDefault="000B0D66" w:rsidP="000B0D66">
            <w:r w:rsidRPr="001733FE">
              <w:rPr>
                <w:b/>
                <w:bCs/>
                <w:lang w:eastAsia="it-IT"/>
              </w:rPr>
              <w:t>Esiti delle verifiche effettuate</w:t>
            </w:r>
          </w:p>
        </w:tc>
      </w:tr>
      <w:tr w:rsidR="000B0D66" w:rsidRPr="001733FE" w:rsidTr="00E74287">
        <w:tc>
          <w:tcPr>
            <w:tcW w:w="4889" w:type="dxa"/>
          </w:tcPr>
          <w:p w:rsidR="00F54638" w:rsidRPr="001733FE" w:rsidRDefault="00F54638" w:rsidP="00E74287">
            <w:pPr>
              <w:autoSpaceDE w:val="0"/>
              <w:autoSpaceDN w:val="0"/>
              <w:adjustRightInd w:val="0"/>
              <w:spacing w:after="0" w:line="240" w:lineRule="auto"/>
              <w:rPr>
                <w:i/>
                <w:iCs/>
                <w:lang w:eastAsia="it-IT"/>
              </w:rPr>
            </w:pPr>
            <w:r w:rsidRPr="001733FE">
              <w:rPr>
                <w:i/>
                <w:iCs/>
                <w:lang w:eastAsia="it-IT"/>
              </w:rPr>
              <w:t>Modalità di comunicazione della metodologia</w:t>
            </w:r>
          </w:p>
          <w:p w:rsidR="00F54638" w:rsidRPr="001733FE" w:rsidRDefault="00F54638" w:rsidP="00E74287">
            <w:pPr>
              <w:autoSpaceDE w:val="0"/>
              <w:autoSpaceDN w:val="0"/>
              <w:adjustRightInd w:val="0"/>
              <w:spacing w:after="0" w:line="240" w:lineRule="auto"/>
              <w:rPr>
                <w:i/>
                <w:iCs/>
                <w:lang w:eastAsia="it-IT"/>
              </w:rPr>
            </w:pPr>
            <w:r w:rsidRPr="001733FE">
              <w:rPr>
                <w:i/>
                <w:iCs/>
                <w:lang w:eastAsia="it-IT"/>
              </w:rPr>
              <w:t>di misurazione e valutazione all’interno</w:t>
            </w:r>
          </w:p>
          <w:p w:rsidR="00F54638" w:rsidRPr="001733FE" w:rsidRDefault="00F54638" w:rsidP="00E74287">
            <w:pPr>
              <w:autoSpaceDE w:val="0"/>
              <w:autoSpaceDN w:val="0"/>
              <w:adjustRightInd w:val="0"/>
              <w:spacing w:after="0" w:line="240" w:lineRule="auto"/>
              <w:rPr>
                <w:i/>
                <w:iCs/>
                <w:lang w:eastAsia="it-IT"/>
              </w:rPr>
            </w:pPr>
            <w:r w:rsidRPr="001733FE">
              <w:rPr>
                <w:i/>
                <w:iCs/>
                <w:lang w:eastAsia="it-IT"/>
              </w:rPr>
              <w:t>dell’amministrazione e grado di condivisione</w:t>
            </w:r>
          </w:p>
          <w:p w:rsidR="000B0D66" w:rsidRPr="001733FE" w:rsidRDefault="00F54638" w:rsidP="00F54638">
            <w:r w:rsidRPr="001733FE">
              <w:rPr>
                <w:i/>
                <w:iCs/>
                <w:lang w:eastAsia="it-IT"/>
              </w:rPr>
              <w:t>della metodologia di misurazione e valutazione della performance</w:t>
            </w:r>
          </w:p>
        </w:tc>
        <w:tc>
          <w:tcPr>
            <w:tcW w:w="4889" w:type="dxa"/>
          </w:tcPr>
          <w:p w:rsidR="00F54638" w:rsidRPr="001733FE" w:rsidRDefault="00F54638" w:rsidP="004D0DCD">
            <w:pPr>
              <w:autoSpaceDE w:val="0"/>
              <w:autoSpaceDN w:val="0"/>
              <w:adjustRightInd w:val="0"/>
              <w:spacing w:after="0" w:line="240" w:lineRule="auto"/>
              <w:jc w:val="both"/>
              <w:rPr>
                <w:rFonts w:eastAsia="CenturyGothic-OneByteIdentityH"/>
                <w:lang w:eastAsia="it-IT"/>
              </w:rPr>
            </w:pPr>
            <w:r w:rsidRPr="001733FE">
              <w:rPr>
                <w:rFonts w:eastAsia="CenturyGothic-OneByteIdentityH"/>
                <w:lang w:eastAsia="it-IT"/>
              </w:rPr>
              <w:t>Ciascun valutatore deve assicurare, con le modalità ritenute più opportune</w:t>
            </w:r>
            <w:r w:rsidR="00A8658F" w:rsidRPr="001733FE">
              <w:rPr>
                <w:rFonts w:eastAsia="CenturyGothic-OneByteIdentityH"/>
                <w:lang w:eastAsia="it-IT"/>
              </w:rPr>
              <w:t>,</w:t>
            </w:r>
            <w:r w:rsidRPr="001733FE">
              <w:rPr>
                <w:rFonts w:eastAsia="CenturyGothic-OneByteIdentityH"/>
                <w:lang w:eastAsia="it-IT"/>
              </w:rPr>
              <w:t xml:space="preserve"> il contraddittorio con l’interessato e, in ogni caso, la piena conoscenza del sistema e della motivazione sulla valutazione conseguita</w:t>
            </w:r>
            <w:r w:rsidR="00A8658F" w:rsidRPr="001733FE">
              <w:rPr>
                <w:rFonts w:eastAsia="CenturyGothic-OneByteIdentityH"/>
                <w:lang w:eastAsia="it-IT"/>
              </w:rPr>
              <w:t xml:space="preserve"> attraverso apposite schede individuali </w:t>
            </w:r>
            <w:r w:rsidRPr="001733FE">
              <w:rPr>
                <w:rFonts w:eastAsia="CenturyGothic-OneByteIdentityH"/>
                <w:lang w:eastAsia="it-IT"/>
              </w:rPr>
              <w:t>.</w:t>
            </w:r>
          </w:p>
          <w:p w:rsidR="000B0D66" w:rsidRPr="001733FE" w:rsidRDefault="000B0D66" w:rsidP="005B359F"/>
        </w:tc>
      </w:tr>
      <w:tr w:rsidR="000B0D66" w:rsidRPr="001733FE" w:rsidTr="00E74287">
        <w:tc>
          <w:tcPr>
            <w:tcW w:w="4889" w:type="dxa"/>
          </w:tcPr>
          <w:p w:rsidR="00F54638" w:rsidRPr="001733FE" w:rsidRDefault="00F54638" w:rsidP="00E74287">
            <w:pPr>
              <w:autoSpaceDE w:val="0"/>
              <w:autoSpaceDN w:val="0"/>
              <w:adjustRightInd w:val="0"/>
              <w:spacing w:after="0" w:line="240" w:lineRule="auto"/>
              <w:rPr>
                <w:i/>
                <w:iCs/>
                <w:lang w:eastAsia="it-IT"/>
              </w:rPr>
            </w:pPr>
            <w:r w:rsidRPr="001733FE">
              <w:rPr>
                <w:i/>
                <w:iCs/>
                <w:lang w:eastAsia="it-IT"/>
              </w:rPr>
              <w:t xml:space="preserve">Modalità di monitoraggio </w:t>
            </w:r>
            <w:r w:rsidR="00B54E84" w:rsidRPr="001733FE">
              <w:rPr>
                <w:i/>
                <w:iCs/>
                <w:lang w:eastAsia="it-IT"/>
              </w:rPr>
              <w:t xml:space="preserve">a fine </w:t>
            </w:r>
            <w:r w:rsidRPr="001733FE">
              <w:rPr>
                <w:i/>
                <w:iCs/>
                <w:lang w:eastAsia="it-IT"/>
              </w:rPr>
              <w:t>anno e di</w:t>
            </w:r>
          </w:p>
          <w:p w:rsidR="000B0D66" w:rsidRPr="001733FE" w:rsidRDefault="00F54638" w:rsidP="00F54638">
            <w:r w:rsidRPr="001733FE">
              <w:rPr>
                <w:i/>
                <w:iCs/>
                <w:lang w:eastAsia="it-IT"/>
              </w:rPr>
              <w:t>raccolta dei dati ai fini della misurazione</w:t>
            </w:r>
          </w:p>
        </w:tc>
        <w:tc>
          <w:tcPr>
            <w:tcW w:w="4889" w:type="dxa"/>
          </w:tcPr>
          <w:p w:rsidR="00B54E84" w:rsidRPr="001733FE" w:rsidRDefault="001B1FB7" w:rsidP="00C60A4F">
            <w:pPr>
              <w:autoSpaceDE w:val="0"/>
              <w:autoSpaceDN w:val="0"/>
              <w:adjustRightInd w:val="0"/>
              <w:spacing w:after="0" w:line="240" w:lineRule="auto"/>
              <w:jc w:val="both"/>
              <w:rPr>
                <w:rFonts w:eastAsia="CenturyGothic-OneByteIdentityH"/>
                <w:lang w:eastAsia="it-IT"/>
              </w:rPr>
            </w:pPr>
            <w:r w:rsidRPr="001733FE">
              <w:rPr>
                <w:rFonts w:eastAsia="CenturyGothic-OneByteIdentityH"/>
                <w:lang w:eastAsia="it-IT"/>
              </w:rPr>
              <w:t>I</w:t>
            </w:r>
            <w:r w:rsidR="00B54E84" w:rsidRPr="001733FE">
              <w:rPr>
                <w:rFonts w:eastAsia="CenturyGothic-OneByteIdentityH"/>
                <w:lang w:eastAsia="it-IT"/>
              </w:rPr>
              <w:t xml:space="preserve"> dati per definire la performance organizzativa di ciascuna struttura sono tratti dal referto del controllo di gestione, che esprime i risultati ottenuti rispetto agli obiettivi programmati con il </w:t>
            </w:r>
            <w:r w:rsidR="000D676D">
              <w:rPr>
                <w:rFonts w:eastAsia="CenturyGothic-OneByteIdentityH"/>
                <w:lang w:eastAsia="it-IT"/>
              </w:rPr>
              <w:t>PIAO</w:t>
            </w:r>
            <w:r w:rsidR="00B54E84" w:rsidRPr="001733FE">
              <w:rPr>
                <w:rFonts w:eastAsia="CenturyGothic-OneByteIdentityH"/>
                <w:lang w:eastAsia="it-IT"/>
              </w:rPr>
              <w:t>. Tale sistema di misurazione e controllo è condizione indispensabile per l’attribuzione dei premi, come previsto dalla normativa di riferimento (art. 3 “Principi generali” del D. Lgs. 150/2009).</w:t>
            </w:r>
          </w:p>
          <w:p w:rsidR="000B0D66" w:rsidRPr="001733FE" w:rsidRDefault="000B0D66" w:rsidP="005B359F"/>
        </w:tc>
      </w:tr>
      <w:tr w:rsidR="000B0D66" w:rsidRPr="001733FE" w:rsidTr="00E74287">
        <w:tc>
          <w:tcPr>
            <w:tcW w:w="4889" w:type="dxa"/>
          </w:tcPr>
          <w:p w:rsidR="000B0D66" w:rsidRPr="001733FE" w:rsidRDefault="00F54638" w:rsidP="00DB59F9">
            <w:pPr>
              <w:autoSpaceDE w:val="0"/>
              <w:autoSpaceDN w:val="0"/>
              <w:adjustRightInd w:val="0"/>
              <w:spacing w:after="0" w:line="240" w:lineRule="auto"/>
            </w:pPr>
            <w:r w:rsidRPr="001733FE">
              <w:rPr>
                <w:i/>
                <w:iCs/>
                <w:lang w:eastAsia="it-IT"/>
              </w:rPr>
              <w:t xml:space="preserve">Modalità di </w:t>
            </w:r>
            <w:r w:rsidR="00DB59F9">
              <w:rPr>
                <w:i/>
                <w:iCs/>
                <w:lang w:eastAsia="it-IT"/>
              </w:rPr>
              <w:t>valutazione della performance individuale</w:t>
            </w:r>
          </w:p>
        </w:tc>
        <w:tc>
          <w:tcPr>
            <w:tcW w:w="4889" w:type="dxa"/>
          </w:tcPr>
          <w:p w:rsidR="00DB59F9" w:rsidRPr="00DB59F9" w:rsidRDefault="00DB59F9" w:rsidP="00DB59F9">
            <w:pPr>
              <w:autoSpaceDE w:val="0"/>
              <w:autoSpaceDN w:val="0"/>
              <w:adjustRightInd w:val="0"/>
              <w:spacing w:after="0" w:line="240" w:lineRule="auto"/>
              <w:jc w:val="both"/>
              <w:rPr>
                <w:rFonts w:eastAsia="CenturyGothic-OneByteIdentityH"/>
                <w:lang w:eastAsia="it-IT"/>
              </w:rPr>
            </w:pPr>
            <w:r w:rsidRPr="00DB59F9">
              <w:rPr>
                <w:rFonts w:eastAsia="CenturyGothic-OneByteIdentityH"/>
                <w:lang w:eastAsia="it-IT"/>
              </w:rPr>
              <w:t>La valutazione della performance individuale, per dirigenti, PO e gli altri dipendenti, riguarda la qualità del contributo assicurato alla performance della struttura, le competenze professionali e manageriali dimostrate nonché i comportamenti organizzativi richiesti, attraverso fattori di valutazione specifici ed articolati, definiti in funzione delle responsabilità e dei ruoli. La valutazione della performance individuale dei dirigenti, in conformità al quadro normativo, tiene conto anche delle capacità di valutazione dei propri collaboratori, dimostrata tramite una significativa differenziazione dei giudizi.</w:t>
            </w:r>
          </w:p>
          <w:p w:rsidR="00DB59F9" w:rsidRPr="00DB59F9" w:rsidRDefault="00DB59F9" w:rsidP="00DB59F9">
            <w:pPr>
              <w:autoSpaceDE w:val="0"/>
              <w:autoSpaceDN w:val="0"/>
              <w:adjustRightInd w:val="0"/>
              <w:spacing w:after="0" w:line="240" w:lineRule="auto"/>
              <w:jc w:val="both"/>
              <w:rPr>
                <w:rFonts w:eastAsia="CenturyGothic-OneByteIdentityH"/>
                <w:lang w:eastAsia="it-IT"/>
              </w:rPr>
            </w:pPr>
            <w:r w:rsidRPr="00DB59F9">
              <w:rPr>
                <w:rFonts w:eastAsia="CenturyGothic-OneByteIdentityH"/>
                <w:lang w:eastAsia="it-IT"/>
              </w:rPr>
              <w:t xml:space="preserve">Il livello della performance del </w:t>
            </w:r>
            <w:r w:rsidR="001F5960">
              <w:rPr>
                <w:rFonts w:eastAsia="CenturyGothic-OneByteIdentityH"/>
                <w:lang w:eastAsia="it-IT"/>
              </w:rPr>
              <w:t>Direttore Generale</w:t>
            </w:r>
            <w:r w:rsidRPr="00DB59F9">
              <w:rPr>
                <w:rFonts w:eastAsia="CenturyGothic-OneByteIdentityH"/>
                <w:lang w:eastAsia="it-IT"/>
              </w:rPr>
              <w:t xml:space="preserve">, in virtù del ruolo di coordinamento svolto, coincide con quello raggiunto dalla performance dell’Ente e rileva ai fini della conferma o meno nel ruolo, qualora scenda oltre la misura predeterminata dal Sindaco metropolitano. </w:t>
            </w:r>
          </w:p>
          <w:p w:rsidR="00DB59F9" w:rsidRPr="00C632A5" w:rsidRDefault="00DB59F9" w:rsidP="00DB59F9">
            <w:pPr>
              <w:autoSpaceDE w:val="0"/>
              <w:autoSpaceDN w:val="0"/>
              <w:adjustRightInd w:val="0"/>
              <w:spacing w:after="0" w:line="240" w:lineRule="auto"/>
              <w:jc w:val="both"/>
              <w:rPr>
                <w:rFonts w:ascii="Times New Roman" w:hAnsi="Times New Roman"/>
                <w:sz w:val="28"/>
                <w:szCs w:val="28"/>
              </w:rPr>
            </w:pPr>
            <w:r w:rsidRPr="00DB59F9">
              <w:rPr>
                <w:rFonts w:eastAsia="CenturyGothic-OneByteIdentityH"/>
                <w:lang w:eastAsia="it-IT"/>
              </w:rPr>
              <w:t xml:space="preserve">La performance del Segretario Generale è invece misurata e valutata con riferimento alle funzioni </w:t>
            </w:r>
            <w:r w:rsidRPr="00DB59F9">
              <w:rPr>
                <w:rFonts w:eastAsia="CenturyGothic-OneByteIdentityH"/>
                <w:lang w:eastAsia="it-IT"/>
              </w:rPr>
              <w:lastRenderedPageBreak/>
              <w:t xml:space="preserve">tipiche </w:t>
            </w:r>
            <w:r w:rsidR="001F5960">
              <w:rPr>
                <w:rFonts w:eastAsia="CenturyGothic-OneByteIdentityH"/>
                <w:lang w:eastAsia="it-IT"/>
              </w:rPr>
              <w:t>svolte</w:t>
            </w:r>
            <w:r w:rsidRPr="00DB59F9">
              <w:rPr>
                <w:rFonts w:eastAsia="CenturyGothic-OneByteIdentityH"/>
                <w:lang w:eastAsia="it-IT"/>
              </w:rPr>
              <w:t>, ed incide sulla relativa quota di retribuzione in misura proporzionale alla percentuale complessiva dei risultati conseguiti.</w:t>
            </w:r>
          </w:p>
          <w:p w:rsidR="000B0D66" w:rsidRPr="001733FE" w:rsidRDefault="000B0D66" w:rsidP="005B359F"/>
        </w:tc>
      </w:tr>
    </w:tbl>
    <w:p w:rsidR="000B0D66" w:rsidRPr="001733FE" w:rsidRDefault="000B0D66" w:rsidP="005B359F"/>
    <w:p w:rsidR="00383D4C" w:rsidRPr="001733FE" w:rsidRDefault="008250AC" w:rsidP="005B359F">
      <w:pPr>
        <w:rPr>
          <w:b/>
          <w:bCs/>
          <w:lang w:eastAsia="it-IT"/>
        </w:rPr>
      </w:pPr>
      <w:r w:rsidRPr="001733FE">
        <w:rPr>
          <w:b/>
          <w:bCs/>
          <w:lang w:eastAsia="it-IT"/>
        </w:rPr>
        <w:t>2.7</w:t>
      </w:r>
      <w:r w:rsidR="00383D4C" w:rsidRPr="001733FE">
        <w:rPr>
          <w:b/>
          <w:bCs/>
          <w:lang w:eastAsia="it-IT"/>
        </w:rPr>
        <w:t>._ Gestione del processo di misurazione e valutazione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89"/>
        <w:gridCol w:w="4889"/>
      </w:tblGrid>
      <w:tr w:rsidR="00383D4C" w:rsidRPr="001733FE" w:rsidTr="00E74287">
        <w:tc>
          <w:tcPr>
            <w:tcW w:w="4889" w:type="dxa"/>
          </w:tcPr>
          <w:p w:rsidR="00383D4C" w:rsidRPr="001733FE" w:rsidRDefault="00383D4C" w:rsidP="00383D4C">
            <w:r w:rsidRPr="001733FE">
              <w:rPr>
                <w:b/>
                <w:bCs/>
                <w:lang w:eastAsia="it-IT"/>
              </w:rPr>
              <w:t xml:space="preserve">Aspetti monitorati </w:t>
            </w:r>
          </w:p>
        </w:tc>
        <w:tc>
          <w:tcPr>
            <w:tcW w:w="4889" w:type="dxa"/>
          </w:tcPr>
          <w:p w:rsidR="00383D4C" w:rsidRPr="001733FE" w:rsidRDefault="00383D4C" w:rsidP="00383D4C">
            <w:r w:rsidRPr="001733FE">
              <w:rPr>
                <w:b/>
                <w:bCs/>
                <w:lang w:eastAsia="it-IT"/>
              </w:rPr>
              <w:t>Esiti delle verifiche effettuate</w:t>
            </w:r>
          </w:p>
        </w:tc>
      </w:tr>
      <w:tr w:rsidR="00383D4C" w:rsidRPr="001733FE" w:rsidTr="00E74287">
        <w:tc>
          <w:tcPr>
            <w:tcW w:w="4889" w:type="dxa"/>
          </w:tcPr>
          <w:p w:rsidR="00383D4C" w:rsidRPr="001733FE" w:rsidRDefault="00F67BC8" w:rsidP="00E74287">
            <w:pPr>
              <w:autoSpaceDE w:val="0"/>
              <w:autoSpaceDN w:val="0"/>
              <w:adjustRightInd w:val="0"/>
              <w:spacing w:after="0" w:line="240" w:lineRule="auto"/>
              <w:rPr>
                <w:b/>
                <w:bCs/>
                <w:lang w:eastAsia="it-IT"/>
              </w:rPr>
            </w:pPr>
            <w:r w:rsidRPr="001733FE">
              <w:rPr>
                <w:i/>
                <w:iCs/>
                <w:lang w:eastAsia="it-IT"/>
              </w:rPr>
              <w:t>Rispetto delle tempistiche del ciclo della performance</w:t>
            </w:r>
          </w:p>
        </w:tc>
        <w:tc>
          <w:tcPr>
            <w:tcW w:w="4889" w:type="dxa"/>
          </w:tcPr>
          <w:p w:rsidR="00383D4C" w:rsidRDefault="008F6A6E" w:rsidP="001F5960">
            <w:pPr>
              <w:autoSpaceDE w:val="0"/>
              <w:autoSpaceDN w:val="0"/>
              <w:adjustRightInd w:val="0"/>
              <w:spacing w:after="0" w:line="240" w:lineRule="auto"/>
              <w:jc w:val="both"/>
              <w:rPr>
                <w:rFonts w:eastAsia="CenturyGothic-OneByteIdentityH"/>
                <w:lang w:eastAsia="it-IT"/>
              </w:rPr>
            </w:pPr>
            <w:r w:rsidRPr="001F5960">
              <w:rPr>
                <w:rFonts w:eastAsia="CenturyGothic-OneByteIdentityH"/>
                <w:lang w:eastAsia="it-IT"/>
              </w:rPr>
              <w:t xml:space="preserve">Il pagamento del premio incentivante la produttività al personale dipendente per la parte collegata al conseguimento dei risultati aggregati di struttura, anno </w:t>
            </w:r>
            <w:r w:rsidR="001F5960" w:rsidRPr="001F5960">
              <w:rPr>
                <w:rFonts w:eastAsia="CenturyGothic-OneByteIdentityH"/>
                <w:lang w:eastAsia="it-IT"/>
              </w:rPr>
              <w:t>202</w:t>
            </w:r>
            <w:r w:rsidR="00553397">
              <w:rPr>
                <w:rFonts w:eastAsia="CenturyGothic-OneByteIdentityH"/>
                <w:lang w:eastAsia="it-IT"/>
              </w:rPr>
              <w:t>2</w:t>
            </w:r>
            <w:r w:rsidRPr="001F5960">
              <w:rPr>
                <w:rFonts w:eastAsia="CenturyGothic-OneByteIdentityH"/>
                <w:lang w:eastAsia="it-IT"/>
              </w:rPr>
              <w:t>, è avvenuta nel mese di aprile 20</w:t>
            </w:r>
            <w:r w:rsidR="000745FE" w:rsidRPr="001F5960">
              <w:rPr>
                <w:rFonts w:eastAsia="CenturyGothic-OneByteIdentityH"/>
                <w:lang w:eastAsia="it-IT"/>
              </w:rPr>
              <w:t>2</w:t>
            </w:r>
            <w:r w:rsidR="00553397">
              <w:rPr>
                <w:rFonts w:eastAsia="CenturyGothic-OneByteIdentityH"/>
                <w:lang w:eastAsia="it-IT"/>
              </w:rPr>
              <w:t>3</w:t>
            </w:r>
            <w:r w:rsidRPr="001F5960">
              <w:rPr>
                <w:rFonts w:eastAsia="CenturyGothic-OneByteIdentityH"/>
                <w:lang w:eastAsia="it-IT"/>
              </w:rPr>
              <w:t>.</w:t>
            </w:r>
            <w:r w:rsidR="004D0DCD" w:rsidRPr="001F5960">
              <w:rPr>
                <w:rFonts w:eastAsia="CenturyGothic-OneByteIdentityH"/>
                <w:lang w:eastAsia="it-IT"/>
              </w:rPr>
              <w:t xml:space="preserve"> </w:t>
            </w:r>
            <w:r w:rsidR="00553397">
              <w:rPr>
                <w:rFonts w:eastAsia="CenturyGothic-OneByteIdentityH"/>
                <w:lang w:eastAsia="it-IT"/>
              </w:rPr>
              <w:t xml:space="preserve">La </w:t>
            </w:r>
            <w:r w:rsidR="00383D4C" w:rsidRPr="001F5960">
              <w:rPr>
                <w:rFonts w:eastAsia="CenturyGothic-OneByteIdentityH"/>
                <w:lang w:eastAsia="it-IT"/>
              </w:rPr>
              <w:t xml:space="preserve">valutazione </w:t>
            </w:r>
            <w:r w:rsidR="00553397">
              <w:rPr>
                <w:rFonts w:eastAsia="CenturyGothic-OneByteIdentityH"/>
                <w:lang w:eastAsia="it-IT"/>
              </w:rPr>
              <w:t xml:space="preserve">dei </w:t>
            </w:r>
            <w:r w:rsidR="00383D4C" w:rsidRPr="001F5960">
              <w:rPr>
                <w:rFonts w:eastAsia="CenturyGothic-OneByteIdentityH"/>
                <w:lang w:eastAsia="it-IT"/>
              </w:rPr>
              <w:t xml:space="preserve">dirigenti </w:t>
            </w:r>
            <w:r w:rsidR="00553397">
              <w:rPr>
                <w:rFonts w:eastAsia="CenturyGothic-OneByteIdentityH"/>
                <w:lang w:eastAsia="it-IT"/>
              </w:rPr>
              <w:t xml:space="preserve">per l’anno </w:t>
            </w:r>
            <w:r w:rsidR="00383D4C" w:rsidRPr="001F5960">
              <w:rPr>
                <w:rFonts w:eastAsia="CenturyGothic-OneByteIdentityH"/>
                <w:lang w:eastAsia="it-IT"/>
              </w:rPr>
              <w:t>20</w:t>
            </w:r>
            <w:r w:rsidR="001F5960" w:rsidRPr="001F5960">
              <w:rPr>
                <w:rFonts w:eastAsia="CenturyGothic-OneByteIdentityH"/>
                <w:lang w:eastAsia="it-IT"/>
              </w:rPr>
              <w:t>2</w:t>
            </w:r>
            <w:r w:rsidR="00553397">
              <w:rPr>
                <w:rFonts w:eastAsia="CenturyGothic-OneByteIdentityH"/>
                <w:lang w:eastAsia="it-IT"/>
              </w:rPr>
              <w:t>2</w:t>
            </w:r>
            <w:r w:rsidR="00383D4C" w:rsidRPr="001F5960">
              <w:rPr>
                <w:rFonts w:eastAsia="CenturyGothic-OneByteIdentityH"/>
                <w:lang w:eastAsia="it-IT"/>
              </w:rPr>
              <w:t xml:space="preserve"> è stata chiusa nel mese di </w:t>
            </w:r>
            <w:r w:rsidR="00553397">
              <w:rPr>
                <w:rFonts w:eastAsia="CenturyGothic-OneByteIdentityH"/>
                <w:lang w:eastAsia="it-IT"/>
              </w:rPr>
              <w:t>maggio 2023.</w:t>
            </w:r>
          </w:p>
          <w:p w:rsidR="001F5960" w:rsidRDefault="001F5960" w:rsidP="001F5960">
            <w:pPr>
              <w:autoSpaceDE w:val="0"/>
              <w:autoSpaceDN w:val="0"/>
              <w:adjustRightInd w:val="0"/>
              <w:spacing w:after="0" w:line="240" w:lineRule="auto"/>
              <w:jc w:val="both"/>
              <w:rPr>
                <w:rFonts w:eastAsia="CenturyGothic-OneByteIdentityH"/>
                <w:lang w:eastAsia="it-IT"/>
              </w:rPr>
            </w:pPr>
          </w:p>
          <w:p w:rsidR="001F5960" w:rsidRPr="001733FE" w:rsidRDefault="001F5960" w:rsidP="005B5F99">
            <w:pPr>
              <w:autoSpaceDE w:val="0"/>
              <w:autoSpaceDN w:val="0"/>
              <w:adjustRightInd w:val="0"/>
              <w:spacing w:after="0" w:line="240" w:lineRule="auto"/>
              <w:jc w:val="both"/>
              <w:rPr>
                <w:rFonts w:eastAsia="CenturyGothic-OneByteIdentityH"/>
                <w:lang w:eastAsia="it-IT"/>
              </w:rPr>
            </w:pPr>
          </w:p>
        </w:tc>
      </w:tr>
      <w:tr w:rsidR="00383D4C" w:rsidRPr="001733FE" w:rsidTr="00E74287">
        <w:tc>
          <w:tcPr>
            <w:tcW w:w="4889" w:type="dxa"/>
          </w:tcPr>
          <w:p w:rsidR="00383D4C" w:rsidRPr="001733FE" w:rsidRDefault="00F67BC8" w:rsidP="004D0DCD">
            <w:pPr>
              <w:autoSpaceDE w:val="0"/>
              <w:autoSpaceDN w:val="0"/>
              <w:adjustRightInd w:val="0"/>
              <w:spacing w:after="0" w:line="240" w:lineRule="auto"/>
            </w:pPr>
            <w:r w:rsidRPr="001733FE">
              <w:rPr>
                <w:i/>
                <w:iCs/>
                <w:lang w:eastAsia="it-IT"/>
              </w:rPr>
              <w:t>Sistema informativo ed informatico utilizzato per</w:t>
            </w:r>
            <w:r w:rsidR="004D0DCD" w:rsidRPr="001733FE">
              <w:rPr>
                <w:i/>
                <w:iCs/>
                <w:lang w:eastAsia="it-IT"/>
              </w:rPr>
              <w:t xml:space="preserve"> </w:t>
            </w:r>
            <w:r w:rsidRPr="001733FE">
              <w:rPr>
                <w:i/>
                <w:iCs/>
                <w:lang w:eastAsia="it-IT"/>
              </w:rPr>
              <w:t>la raccolta dei dati per la misurazione della performance</w:t>
            </w:r>
          </w:p>
        </w:tc>
        <w:tc>
          <w:tcPr>
            <w:tcW w:w="4889" w:type="dxa"/>
          </w:tcPr>
          <w:p w:rsidR="00F67BC8" w:rsidRPr="001733FE" w:rsidRDefault="00F67BC8" w:rsidP="00553397">
            <w:pPr>
              <w:autoSpaceDE w:val="0"/>
              <w:autoSpaceDN w:val="0"/>
              <w:adjustRightInd w:val="0"/>
              <w:spacing w:after="0" w:line="240" w:lineRule="auto"/>
              <w:jc w:val="both"/>
              <w:rPr>
                <w:rFonts w:eastAsia="CenturyGothic-OneByteIdentityH"/>
                <w:lang w:eastAsia="it-IT"/>
              </w:rPr>
            </w:pPr>
            <w:r w:rsidRPr="001733FE">
              <w:rPr>
                <w:rFonts w:eastAsia="CenturyGothic-OneByteIdentityH"/>
                <w:lang w:eastAsia="it-IT"/>
              </w:rPr>
              <w:t xml:space="preserve">I dati rilevati hanno fatto riferimento ai sistemi informativo - contabili dell’ente, a quelli di monitoraggio delle opere pubbliche e dei tempi delle autorizzazioni, </w:t>
            </w:r>
            <w:r w:rsidR="00553397">
              <w:rPr>
                <w:rFonts w:eastAsia="CenturyGothic-OneByteIdentityH"/>
                <w:lang w:eastAsia="it-IT"/>
              </w:rPr>
              <w:t>e alla Relazione della performance.</w:t>
            </w:r>
          </w:p>
          <w:p w:rsidR="00383D4C" w:rsidRPr="001733FE" w:rsidRDefault="00383D4C" w:rsidP="00F67BC8">
            <w:pPr>
              <w:rPr>
                <w:rFonts w:eastAsia="CenturyGothic-OneByteIdentityH"/>
                <w:lang w:eastAsia="it-IT"/>
              </w:rPr>
            </w:pPr>
          </w:p>
        </w:tc>
      </w:tr>
      <w:tr w:rsidR="00383D4C" w:rsidRPr="001733FE" w:rsidTr="00E74287">
        <w:tc>
          <w:tcPr>
            <w:tcW w:w="4889" w:type="dxa"/>
          </w:tcPr>
          <w:p w:rsidR="00383D4C" w:rsidRPr="001733FE" w:rsidRDefault="00F67BC8" w:rsidP="00E74287">
            <w:pPr>
              <w:autoSpaceDE w:val="0"/>
              <w:autoSpaceDN w:val="0"/>
              <w:adjustRightInd w:val="0"/>
              <w:spacing w:after="0" w:line="240" w:lineRule="auto"/>
            </w:pPr>
            <w:r w:rsidRPr="001733FE">
              <w:rPr>
                <w:i/>
                <w:iCs/>
                <w:lang w:eastAsia="it-IT"/>
              </w:rPr>
              <w:t>Utilizzo effettivo dei risultati del sistema di misurazione per orientare le decisioni del valutatore</w:t>
            </w:r>
          </w:p>
        </w:tc>
        <w:tc>
          <w:tcPr>
            <w:tcW w:w="4889" w:type="dxa"/>
          </w:tcPr>
          <w:p w:rsidR="00F67BC8" w:rsidRPr="001733FE" w:rsidRDefault="00F67BC8" w:rsidP="00E74287">
            <w:pPr>
              <w:autoSpaceDE w:val="0"/>
              <w:autoSpaceDN w:val="0"/>
              <w:adjustRightInd w:val="0"/>
              <w:spacing w:after="0" w:line="240" w:lineRule="auto"/>
              <w:rPr>
                <w:rFonts w:eastAsia="CenturyGothic-OneByteIdentityH"/>
                <w:lang w:eastAsia="it-IT"/>
              </w:rPr>
            </w:pPr>
            <w:r w:rsidRPr="001733FE">
              <w:rPr>
                <w:rFonts w:eastAsia="CenturyGothic-OneByteIdentityH"/>
                <w:lang w:eastAsia="it-IT"/>
              </w:rPr>
              <w:t xml:space="preserve">La valutazione degli obiettivi individuali è stata effettuata sulla base dei risultati conseguiti sugli obiettivi assegnati con il </w:t>
            </w:r>
            <w:r w:rsidR="00553397">
              <w:rPr>
                <w:rFonts w:eastAsia="CenturyGothic-OneByteIdentityH"/>
                <w:lang w:eastAsia="it-IT"/>
              </w:rPr>
              <w:t>PIAO.</w:t>
            </w:r>
          </w:p>
          <w:p w:rsidR="00383D4C" w:rsidRPr="001733FE" w:rsidRDefault="00383D4C" w:rsidP="00E74287">
            <w:pPr>
              <w:autoSpaceDE w:val="0"/>
              <w:autoSpaceDN w:val="0"/>
              <w:adjustRightInd w:val="0"/>
              <w:spacing w:after="0" w:line="240" w:lineRule="auto"/>
              <w:rPr>
                <w:rFonts w:eastAsia="CenturyGothic-OneByteIdentityH"/>
                <w:lang w:eastAsia="it-IT"/>
              </w:rPr>
            </w:pPr>
          </w:p>
        </w:tc>
      </w:tr>
    </w:tbl>
    <w:p w:rsidR="00954949" w:rsidRPr="001733FE" w:rsidRDefault="00954949" w:rsidP="005B359F">
      <w:pPr>
        <w:rPr>
          <w:b/>
          <w:bCs/>
          <w:lang w:eastAsia="it-IT"/>
        </w:rPr>
      </w:pPr>
      <w:r w:rsidRPr="001733FE">
        <w:rPr>
          <w:b/>
          <w:bCs/>
          <w:lang w:eastAsia="it-IT"/>
        </w:rPr>
        <w:t>2.</w:t>
      </w:r>
      <w:r w:rsidR="008250AC" w:rsidRPr="001733FE">
        <w:rPr>
          <w:b/>
          <w:bCs/>
          <w:lang w:eastAsia="it-IT"/>
        </w:rPr>
        <w:t>8</w:t>
      </w:r>
      <w:r w:rsidRPr="001733FE">
        <w:rPr>
          <w:b/>
          <w:bCs/>
          <w:lang w:eastAsia="it-IT"/>
        </w:rPr>
        <w:t>._ Integrazione con il ciclo di bilancio ed i sistemi di controllo interni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89"/>
        <w:gridCol w:w="4889"/>
      </w:tblGrid>
      <w:tr w:rsidR="002A5A47" w:rsidRPr="001733FE" w:rsidTr="00E74287">
        <w:tc>
          <w:tcPr>
            <w:tcW w:w="4889" w:type="dxa"/>
          </w:tcPr>
          <w:p w:rsidR="002A5A47" w:rsidRPr="001733FE" w:rsidRDefault="002A5A47" w:rsidP="002A5A47">
            <w:r w:rsidRPr="001733FE">
              <w:rPr>
                <w:b/>
                <w:bCs/>
                <w:lang w:eastAsia="it-IT"/>
              </w:rPr>
              <w:t xml:space="preserve">Aspetti monitorati </w:t>
            </w:r>
          </w:p>
        </w:tc>
        <w:tc>
          <w:tcPr>
            <w:tcW w:w="4889" w:type="dxa"/>
          </w:tcPr>
          <w:p w:rsidR="002A5A47" w:rsidRPr="001733FE" w:rsidRDefault="002A5A47" w:rsidP="002A5A47">
            <w:r w:rsidRPr="001733FE">
              <w:rPr>
                <w:b/>
                <w:bCs/>
                <w:lang w:eastAsia="it-IT"/>
              </w:rPr>
              <w:t>Esiti delle verifiche effettuate</w:t>
            </w:r>
          </w:p>
        </w:tc>
      </w:tr>
      <w:tr w:rsidR="002A5A47" w:rsidRPr="001733FE" w:rsidTr="00E74287">
        <w:tc>
          <w:tcPr>
            <w:tcW w:w="4889" w:type="dxa"/>
          </w:tcPr>
          <w:p w:rsidR="002A5A47" w:rsidRPr="001733FE" w:rsidRDefault="002A5A47" w:rsidP="00C60A4F">
            <w:pPr>
              <w:autoSpaceDE w:val="0"/>
              <w:autoSpaceDN w:val="0"/>
              <w:adjustRightInd w:val="0"/>
              <w:spacing w:after="0" w:line="240" w:lineRule="auto"/>
            </w:pPr>
            <w:r w:rsidRPr="001733FE">
              <w:rPr>
                <w:i/>
                <w:iCs/>
                <w:lang w:eastAsia="it-IT"/>
              </w:rPr>
              <w:t>Integrazione con il ciclo di bilancio e con gli altri</w:t>
            </w:r>
            <w:r w:rsidR="00C60A4F" w:rsidRPr="001733FE">
              <w:rPr>
                <w:i/>
                <w:iCs/>
                <w:lang w:eastAsia="it-IT"/>
              </w:rPr>
              <w:t xml:space="preserve"> </w:t>
            </w:r>
            <w:r w:rsidRPr="001733FE">
              <w:rPr>
                <w:i/>
                <w:iCs/>
                <w:lang w:eastAsia="it-IT"/>
              </w:rPr>
              <w:t>sistemi di controllo</w:t>
            </w:r>
          </w:p>
        </w:tc>
        <w:tc>
          <w:tcPr>
            <w:tcW w:w="4889" w:type="dxa"/>
          </w:tcPr>
          <w:p w:rsidR="002A5A47" w:rsidRPr="001733FE" w:rsidRDefault="002A5A47" w:rsidP="004D0DCD">
            <w:pPr>
              <w:autoSpaceDE w:val="0"/>
              <w:autoSpaceDN w:val="0"/>
              <w:adjustRightInd w:val="0"/>
              <w:spacing w:after="0" w:line="240" w:lineRule="auto"/>
              <w:jc w:val="both"/>
              <w:rPr>
                <w:rFonts w:eastAsia="CenturyGothic-OneByteIdentityH"/>
                <w:lang w:eastAsia="it-IT"/>
              </w:rPr>
            </w:pPr>
            <w:r w:rsidRPr="001733FE">
              <w:rPr>
                <w:rFonts w:eastAsia="CenturyGothic-OneByteIdentityH"/>
                <w:lang w:eastAsia="it-IT"/>
              </w:rPr>
              <w:t xml:space="preserve">L’integrazione tra il sistema di bilancio </w:t>
            </w:r>
            <w:r w:rsidR="00E36B88" w:rsidRPr="001733FE">
              <w:rPr>
                <w:rFonts w:eastAsia="CenturyGothic-OneByteIdentityH"/>
                <w:lang w:eastAsia="it-IT"/>
              </w:rPr>
              <w:t>e la</w:t>
            </w:r>
            <w:r w:rsidRPr="001733FE">
              <w:rPr>
                <w:rFonts w:eastAsia="CenturyGothic-OneByteIdentityH"/>
                <w:lang w:eastAsia="it-IT"/>
              </w:rPr>
              <w:t xml:space="preserve"> performance organizzativa </w:t>
            </w:r>
            <w:r w:rsidR="00E36B88" w:rsidRPr="001733FE">
              <w:rPr>
                <w:rFonts w:eastAsia="CenturyGothic-OneByteIdentityH"/>
                <w:lang w:eastAsia="it-IT"/>
              </w:rPr>
              <w:t xml:space="preserve">è garantito, </w:t>
            </w:r>
            <w:r w:rsidRPr="001733FE">
              <w:rPr>
                <w:rFonts w:eastAsia="CenturyGothic-OneByteIdentityH"/>
                <w:lang w:eastAsia="it-IT"/>
              </w:rPr>
              <w:t xml:space="preserve">dal punto di vista organizzativo, </w:t>
            </w:r>
            <w:r w:rsidR="00E36B88" w:rsidRPr="001733FE">
              <w:rPr>
                <w:rFonts w:eastAsia="CenturyGothic-OneByteIdentityH"/>
                <w:lang w:eastAsia="it-IT"/>
              </w:rPr>
              <w:t xml:space="preserve">dalla </w:t>
            </w:r>
            <w:r w:rsidRPr="001733FE">
              <w:rPr>
                <w:rFonts w:eastAsia="CenturyGothic-OneByteIdentityH"/>
                <w:lang w:eastAsia="it-IT"/>
              </w:rPr>
              <w:t xml:space="preserve">struttura di supporto </w:t>
            </w:r>
            <w:r w:rsidR="00BF35C8" w:rsidRPr="001733FE">
              <w:rPr>
                <w:rFonts w:eastAsia="CenturyGothic-OneByteIdentityH"/>
                <w:lang w:eastAsia="it-IT"/>
              </w:rPr>
              <w:t>al Nucleo di Valutazione</w:t>
            </w:r>
            <w:r w:rsidRPr="001733FE">
              <w:rPr>
                <w:rFonts w:eastAsia="CenturyGothic-OneByteIdentityH"/>
                <w:lang w:eastAsia="it-IT"/>
              </w:rPr>
              <w:t>.</w:t>
            </w:r>
          </w:p>
          <w:p w:rsidR="000662DD" w:rsidRPr="001733FE" w:rsidRDefault="000662DD" w:rsidP="004D0DCD">
            <w:pPr>
              <w:autoSpaceDE w:val="0"/>
              <w:autoSpaceDN w:val="0"/>
              <w:adjustRightInd w:val="0"/>
              <w:spacing w:after="0" w:line="240" w:lineRule="auto"/>
              <w:jc w:val="both"/>
              <w:rPr>
                <w:rFonts w:eastAsia="CenturyGothic-OneByteIdentityH"/>
                <w:lang w:eastAsia="it-IT"/>
              </w:rPr>
            </w:pPr>
          </w:p>
          <w:p w:rsidR="002A5A47" w:rsidRPr="001733FE" w:rsidRDefault="002A5A47" w:rsidP="004D0DCD">
            <w:pPr>
              <w:autoSpaceDE w:val="0"/>
              <w:autoSpaceDN w:val="0"/>
              <w:adjustRightInd w:val="0"/>
              <w:spacing w:after="0" w:line="240" w:lineRule="auto"/>
              <w:jc w:val="both"/>
              <w:rPr>
                <w:rFonts w:eastAsia="CenturyGothic-OneByteIdentityH"/>
                <w:lang w:eastAsia="it-IT"/>
              </w:rPr>
            </w:pPr>
            <w:r w:rsidRPr="00D9739F">
              <w:rPr>
                <w:rFonts w:eastAsia="CenturyGothic-OneByteIdentityH"/>
                <w:lang w:eastAsia="it-IT"/>
              </w:rPr>
              <w:t>In particol</w:t>
            </w:r>
            <w:r w:rsidR="00D9739F" w:rsidRPr="00D9739F">
              <w:rPr>
                <w:rFonts w:eastAsia="CenturyGothic-OneByteIdentityH"/>
                <w:lang w:eastAsia="it-IT"/>
              </w:rPr>
              <w:t xml:space="preserve">are, si rileva che </w:t>
            </w:r>
            <w:r w:rsidR="003764A1">
              <w:rPr>
                <w:rFonts w:eastAsia="CenturyGothic-OneByteIdentityH"/>
                <w:lang w:eastAsia="it-IT"/>
              </w:rPr>
              <w:t>la sezione Performance del PIAO:</w:t>
            </w:r>
          </w:p>
          <w:p w:rsidR="002B34CB" w:rsidRPr="001733FE" w:rsidRDefault="002B34CB" w:rsidP="004D0DCD">
            <w:pPr>
              <w:autoSpaceDE w:val="0"/>
              <w:autoSpaceDN w:val="0"/>
              <w:adjustRightInd w:val="0"/>
              <w:spacing w:after="0" w:line="240" w:lineRule="auto"/>
              <w:jc w:val="both"/>
              <w:rPr>
                <w:rFonts w:eastAsia="CenturyGothic-OneByteIdentityH"/>
                <w:lang w:eastAsia="it-IT"/>
              </w:rPr>
            </w:pPr>
          </w:p>
          <w:p w:rsidR="00BF35C8" w:rsidRPr="001733FE" w:rsidRDefault="00BF35C8" w:rsidP="004D0DCD">
            <w:pPr>
              <w:autoSpaceDE w:val="0"/>
              <w:autoSpaceDN w:val="0"/>
              <w:adjustRightInd w:val="0"/>
              <w:spacing w:after="0" w:line="240" w:lineRule="auto"/>
              <w:jc w:val="both"/>
              <w:rPr>
                <w:rFonts w:eastAsia="CenturyGothic-OneByteIdentityH"/>
                <w:lang w:eastAsia="it-IT"/>
              </w:rPr>
            </w:pPr>
            <w:r w:rsidRPr="001733FE">
              <w:rPr>
                <w:rFonts w:eastAsia="CenturyGothic-OneByteIdentityH"/>
                <w:lang w:eastAsia="it-IT"/>
              </w:rPr>
              <w:t>-</w:t>
            </w:r>
            <w:r w:rsidR="002A5A47" w:rsidRPr="001733FE">
              <w:rPr>
                <w:rFonts w:eastAsia="CenturyGothic-OneByteIdentityH"/>
                <w:lang w:eastAsia="it-IT"/>
              </w:rPr>
              <w:t>è raccordat</w:t>
            </w:r>
            <w:r w:rsidR="003764A1">
              <w:rPr>
                <w:rFonts w:eastAsia="CenturyGothic-OneByteIdentityH"/>
                <w:lang w:eastAsia="it-IT"/>
              </w:rPr>
              <w:t>a</w:t>
            </w:r>
            <w:r w:rsidR="002A5A47" w:rsidRPr="001733FE">
              <w:rPr>
                <w:rFonts w:eastAsia="CenturyGothic-OneByteIdentityH"/>
                <w:lang w:eastAsia="it-IT"/>
              </w:rPr>
              <w:t xml:space="preserve"> con la struttura organizzativa in quanto è strutturat</w:t>
            </w:r>
            <w:r w:rsidR="003764A1">
              <w:rPr>
                <w:rFonts w:eastAsia="CenturyGothic-OneByteIdentityH"/>
                <w:lang w:eastAsia="it-IT"/>
              </w:rPr>
              <w:t>a</w:t>
            </w:r>
            <w:r w:rsidR="002A5A47" w:rsidRPr="001733FE">
              <w:rPr>
                <w:rFonts w:eastAsia="CenturyGothic-OneByteIdentityH"/>
                <w:lang w:eastAsia="it-IT"/>
              </w:rPr>
              <w:t xml:space="preserve"> per Aree/</w:t>
            </w:r>
            <w:r w:rsidRPr="001733FE">
              <w:rPr>
                <w:rFonts w:eastAsia="CenturyGothic-OneByteIdentityH"/>
                <w:lang w:eastAsia="it-IT"/>
              </w:rPr>
              <w:t>Centri di responsabilità ;</w:t>
            </w:r>
          </w:p>
          <w:p w:rsidR="00BF35C8" w:rsidRPr="001733FE" w:rsidRDefault="002B34CB" w:rsidP="004D0DCD">
            <w:pPr>
              <w:autoSpaceDE w:val="0"/>
              <w:autoSpaceDN w:val="0"/>
              <w:adjustRightInd w:val="0"/>
              <w:spacing w:after="0" w:line="240" w:lineRule="auto"/>
              <w:jc w:val="both"/>
              <w:rPr>
                <w:rFonts w:eastAsia="CenturyGothic-OneByteIdentityH"/>
                <w:lang w:eastAsia="it-IT"/>
              </w:rPr>
            </w:pPr>
            <w:r w:rsidRPr="001733FE">
              <w:rPr>
                <w:rFonts w:eastAsia="CenturyGothic-OneByteIdentityH"/>
                <w:lang w:eastAsia="it-IT"/>
              </w:rPr>
              <w:t xml:space="preserve">- </w:t>
            </w:r>
            <w:r w:rsidR="00BF35C8" w:rsidRPr="001733FE">
              <w:rPr>
                <w:rFonts w:eastAsia="CenturyGothic-OneByteIdentityH"/>
                <w:lang w:eastAsia="it-IT"/>
              </w:rPr>
              <w:t xml:space="preserve">nell’ambito di ciascun Cdr, </w:t>
            </w:r>
            <w:r w:rsidR="00C60A4F" w:rsidRPr="001733FE">
              <w:rPr>
                <w:rFonts w:eastAsia="CenturyGothic-OneByteIdentityH"/>
                <w:lang w:eastAsia="it-IT"/>
              </w:rPr>
              <w:t xml:space="preserve">si </w:t>
            </w:r>
            <w:r w:rsidR="00BF35C8" w:rsidRPr="001733FE">
              <w:rPr>
                <w:rFonts w:eastAsia="CenturyGothic-OneByteIdentityH"/>
                <w:lang w:eastAsia="it-IT"/>
              </w:rPr>
              <w:t xml:space="preserve">individua il Dirigente o il responsabile della gestione di ciascun Centro, inteso come ambito organizzativo e gestionale cui sono assegnati formalmente: obiettivi, dotazioni </w:t>
            </w:r>
            <w:r w:rsidR="00E36B88" w:rsidRPr="001733FE">
              <w:rPr>
                <w:rFonts w:eastAsia="CenturyGothic-OneByteIdentityH"/>
                <w:lang w:eastAsia="it-IT"/>
              </w:rPr>
              <w:t xml:space="preserve">umane, </w:t>
            </w:r>
            <w:r w:rsidR="00BF35C8" w:rsidRPr="001733FE">
              <w:rPr>
                <w:rFonts w:eastAsia="CenturyGothic-OneByteIdentityH"/>
                <w:lang w:eastAsia="it-IT"/>
              </w:rPr>
              <w:t>finanziarie e responsabilità</w:t>
            </w:r>
            <w:r w:rsidRPr="001733FE">
              <w:rPr>
                <w:rFonts w:eastAsia="CenturyGothic-OneByteIdentityH"/>
                <w:lang w:eastAsia="it-IT"/>
              </w:rPr>
              <w:t xml:space="preserve"> </w:t>
            </w:r>
            <w:r w:rsidR="00BF35C8" w:rsidRPr="001733FE">
              <w:rPr>
                <w:rFonts w:eastAsia="CenturyGothic-OneByteIdentityH"/>
                <w:lang w:eastAsia="it-IT"/>
              </w:rPr>
              <w:t>(sul raggiungimento degli obiettivi e sull’utilizzo delle dotazioni);</w:t>
            </w:r>
          </w:p>
          <w:p w:rsidR="00BF35C8" w:rsidRPr="00D9739F" w:rsidRDefault="002B34CB" w:rsidP="004D0DCD">
            <w:pPr>
              <w:autoSpaceDE w:val="0"/>
              <w:autoSpaceDN w:val="0"/>
              <w:adjustRightInd w:val="0"/>
              <w:spacing w:after="0" w:line="240" w:lineRule="auto"/>
              <w:jc w:val="both"/>
              <w:rPr>
                <w:rFonts w:eastAsia="CenturyGothic-OneByteIdentityH"/>
                <w:lang w:eastAsia="it-IT"/>
              </w:rPr>
            </w:pPr>
            <w:r w:rsidRPr="00D9739F">
              <w:rPr>
                <w:rFonts w:eastAsia="CenturyGothic-OneByteIdentityH"/>
                <w:lang w:eastAsia="it-IT"/>
              </w:rPr>
              <w:t>-</w:t>
            </w:r>
            <w:r w:rsidR="00BF35C8" w:rsidRPr="00D9739F">
              <w:rPr>
                <w:rFonts w:eastAsia="CenturyGothic-OneByteIdentityH"/>
                <w:lang w:eastAsia="it-IT"/>
              </w:rPr>
              <w:t xml:space="preserve"> è raccordat</w:t>
            </w:r>
            <w:r w:rsidR="003764A1">
              <w:rPr>
                <w:rFonts w:eastAsia="CenturyGothic-OneByteIdentityH"/>
                <w:lang w:eastAsia="it-IT"/>
              </w:rPr>
              <w:t>a</w:t>
            </w:r>
            <w:r w:rsidR="00BF35C8" w:rsidRPr="00D9739F">
              <w:rPr>
                <w:rFonts w:eastAsia="CenturyGothic-OneByteIdentityH"/>
                <w:lang w:eastAsia="it-IT"/>
              </w:rPr>
              <w:t xml:space="preserve"> alla programmazione stabilita con il </w:t>
            </w:r>
            <w:r w:rsidR="00BF35C8" w:rsidRPr="00D9739F">
              <w:rPr>
                <w:rFonts w:eastAsia="CenturyGothic-OneByteIdentityH"/>
                <w:lang w:eastAsia="it-IT"/>
              </w:rPr>
              <w:lastRenderedPageBreak/>
              <w:t>Dup in quanto è strutturat</w:t>
            </w:r>
            <w:r w:rsidR="003764A1">
              <w:rPr>
                <w:rFonts w:eastAsia="CenturyGothic-OneByteIdentityH"/>
                <w:lang w:eastAsia="it-IT"/>
              </w:rPr>
              <w:t>a</w:t>
            </w:r>
            <w:r w:rsidR="00BF35C8" w:rsidRPr="00D9739F">
              <w:rPr>
                <w:rFonts w:eastAsia="CenturyGothic-OneByteIdentityH"/>
                <w:lang w:eastAsia="it-IT"/>
              </w:rPr>
              <w:t xml:space="preserve"> per i Programmi del Dup , declinando gli obiettivi operativi in obiettivi </w:t>
            </w:r>
            <w:r w:rsidR="003764A1">
              <w:rPr>
                <w:rFonts w:eastAsia="CenturyGothic-OneByteIdentityH"/>
                <w:lang w:eastAsia="it-IT"/>
              </w:rPr>
              <w:t>di performance</w:t>
            </w:r>
            <w:r w:rsidR="00BF35C8" w:rsidRPr="00D9739F">
              <w:rPr>
                <w:rFonts w:eastAsia="CenturyGothic-OneByteIdentityH"/>
                <w:lang w:eastAsia="it-IT"/>
              </w:rPr>
              <w:t>;</w:t>
            </w:r>
          </w:p>
          <w:p w:rsidR="00BB3804" w:rsidRPr="001733FE" w:rsidRDefault="002B34CB" w:rsidP="004D0DCD">
            <w:pPr>
              <w:autoSpaceDE w:val="0"/>
              <w:autoSpaceDN w:val="0"/>
              <w:adjustRightInd w:val="0"/>
              <w:spacing w:after="0" w:line="240" w:lineRule="auto"/>
              <w:jc w:val="both"/>
              <w:rPr>
                <w:rFonts w:eastAsia="CenturyGothic-OneByteIdentityH"/>
                <w:lang w:eastAsia="it-IT"/>
              </w:rPr>
            </w:pPr>
            <w:r w:rsidRPr="00D9739F">
              <w:rPr>
                <w:rFonts w:eastAsia="CenturyGothic-OneByteIdentityH"/>
                <w:lang w:eastAsia="it-IT"/>
              </w:rPr>
              <w:t>-</w:t>
            </w:r>
            <w:r w:rsidR="00BF35C8" w:rsidRPr="00D9739F">
              <w:rPr>
                <w:rFonts w:eastAsia="CenturyGothic-OneByteIdentityH"/>
                <w:lang w:eastAsia="it-IT"/>
              </w:rPr>
              <w:t xml:space="preserve"> è raccordat</w:t>
            </w:r>
            <w:r w:rsidR="003764A1">
              <w:rPr>
                <w:rFonts w:eastAsia="CenturyGothic-OneByteIdentityH"/>
                <w:lang w:eastAsia="it-IT"/>
              </w:rPr>
              <w:t>a</w:t>
            </w:r>
            <w:r w:rsidR="00BF35C8" w:rsidRPr="00D9739F">
              <w:rPr>
                <w:rFonts w:eastAsia="CenturyGothic-OneByteIdentityH"/>
                <w:lang w:eastAsia="it-IT"/>
              </w:rPr>
              <w:t>, sotto il profilo contabile, con il bilancio di previsione come</w:t>
            </w:r>
            <w:r w:rsidR="00BB3804" w:rsidRPr="00D9739F">
              <w:rPr>
                <w:rFonts w:eastAsia="CenturyGothic-OneByteIdentityH"/>
                <w:lang w:eastAsia="it-IT"/>
              </w:rPr>
              <w:t xml:space="preserve"> </w:t>
            </w:r>
            <w:r w:rsidR="00BF35C8" w:rsidRPr="00D9739F">
              <w:rPr>
                <w:rFonts w:eastAsia="CenturyGothic-OneByteIdentityH"/>
                <w:lang w:eastAsia="it-IT"/>
              </w:rPr>
              <w:t>disposto dal comma 2 dell’art. 169 del dlgs 267/2000.</w:t>
            </w:r>
            <w:r w:rsidR="00BF35C8" w:rsidRPr="001733FE">
              <w:rPr>
                <w:rFonts w:eastAsia="CenturyGothic-OneByteIdentityH"/>
                <w:lang w:eastAsia="it-IT"/>
              </w:rPr>
              <w:t xml:space="preserve"> </w:t>
            </w:r>
          </w:p>
          <w:p w:rsidR="00BF35C8" w:rsidRPr="001733FE" w:rsidRDefault="00BF35C8" w:rsidP="004D0DCD">
            <w:pPr>
              <w:autoSpaceDE w:val="0"/>
              <w:autoSpaceDN w:val="0"/>
              <w:adjustRightInd w:val="0"/>
              <w:spacing w:after="0" w:line="240" w:lineRule="auto"/>
              <w:jc w:val="both"/>
              <w:rPr>
                <w:rFonts w:eastAsia="CenturyGothic-OneByteIdentityH"/>
                <w:lang w:eastAsia="it-IT"/>
              </w:rPr>
            </w:pPr>
            <w:r w:rsidRPr="00D9739F">
              <w:rPr>
                <w:rFonts w:eastAsia="CenturyGothic-OneByteIdentityH"/>
                <w:lang w:eastAsia="it-IT"/>
              </w:rPr>
              <w:t>Il Peg</w:t>
            </w:r>
            <w:r w:rsidR="003764A1">
              <w:rPr>
                <w:rFonts w:eastAsia="CenturyGothic-OneByteIdentityH"/>
                <w:lang w:eastAsia="it-IT"/>
              </w:rPr>
              <w:t xml:space="preserve"> finanziario </w:t>
            </w:r>
            <w:r w:rsidRPr="00D9739F">
              <w:rPr>
                <w:rFonts w:eastAsia="CenturyGothic-OneByteIdentityH"/>
                <w:lang w:eastAsia="it-IT"/>
              </w:rPr>
              <w:t>articola le Entrate in titoli, tipologie categorie</w:t>
            </w:r>
            <w:r w:rsidR="00BB3804" w:rsidRPr="00D9739F">
              <w:rPr>
                <w:rFonts w:eastAsia="CenturyGothic-OneByteIdentityH"/>
                <w:lang w:eastAsia="it-IT"/>
              </w:rPr>
              <w:t xml:space="preserve"> </w:t>
            </w:r>
            <w:r w:rsidRPr="00D9739F">
              <w:rPr>
                <w:rFonts w:eastAsia="CenturyGothic-OneByteIdentityH"/>
                <w:lang w:eastAsia="it-IT"/>
              </w:rPr>
              <w:t>e capitoli. Articola inoltre le Spese</w:t>
            </w:r>
            <w:r w:rsidRPr="001733FE">
              <w:rPr>
                <w:rFonts w:eastAsia="CenturyGothic-OneByteIdentityH"/>
                <w:lang w:eastAsia="it-IT"/>
              </w:rPr>
              <w:t xml:space="preserve"> in missioni, programm</w:t>
            </w:r>
            <w:r w:rsidR="00BB3804" w:rsidRPr="001733FE">
              <w:rPr>
                <w:rFonts w:eastAsia="CenturyGothic-OneByteIdentityH"/>
                <w:lang w:eastAsia="it-IT"/>
              </w:rPr>
              <w:t>i, titoli, macroaggregati, capi</w:t>
            </w:r>
            <w:r w:rsidRPr="001733FE">
              <w:rPr>
                <w:rFonts w:eastAsia="CenturyGothic-OneByteIdentityH"/>
                <w:lang w:eastAsia="it-IT"/>
              </w:rPr>
              <w:t xml:space="preserve">toli. I capitoli costituiscono le unità elementari ai fini </w:t>
            </w:r>
            <w:r w:rsidR="00BB3804" w:rsidRPr="001733FE">
              <w:rPr>
                <w:rFonts w:eastAsia="CenturyGothic-OneByteIdentityH"/>
                <w:lang w:eastAsia="it-IT"/>
              </w:rPr>
              <w:t>della gestione e della rendicon</w:t>
            </w:r>
            <w:r w:rsidRPr="001733FE">
              <w:rPr>
                <w:rFonts w:eastAsia="CenturyGothic-OneByteIdentityH"/>
                <w:lang w:eastAsia="it-IT"/>
              </w:rPr>
              <w:t>tazione e sono raccordati al quarto livello del piano dei conti finanziario di cui all’art.157 del dlgs 267/2000. Essi presentano in coerenza co</w:t>
            </w:r>
            <w:r w:rsidR="00BB3804" w:rsidRPr="001733FE">
              <w:rPr>
                <w:rFonts w:eastAsia="CenturyGothic-OneByteIdentityH"/>
                <w:lang w:eastAsia="it-IT"/>
              </w:rPr>
              <w:t>n la durat</w:t>
            </w:r>
            <w:r w:rsidR="00BB3804" w:rsidRPr="00D9739F">
              <w:rPr>
                <w:rFonts w:eastAsia="CenturyGothic-OneByteIdentityH"/>
                <w:lang w:eastAsia="it-IT"/>
              </w:rPr>
              <w:t>a temporale del Bilan</w:t>
            </w:r>
            <w:r w:rsidRPr="00D9739F">
              <w:rPr>
                <w:rFonts w:eastAsia="CenturyGothic-OneByteIdentityH"/>
                <w:lang w:eastAsia="it-IT"/>
              </w:rPr>
              <w:t>cio di previsione approvato, stanziamenti di compe</w:t>
            </w:r>
            <w:r w:rsidR="002B34CB" w:rsidRPr="00D9739F">
              <w:rPr>
                <w:rFonts w:eastAsia="CenturyGothic-OneByteIdentityH"/>
                <w:lang w:eastAsia="it-IT"/>
              </w:rPr>
              <w:t xml:space="preserve">tenza riferiti al triennio </w:t>
            </w:r>
            <w:r w:rsidRPr="00D9739F">
              <w:rPr>
                <w:rFonts w:eastAsia="CenturyGothic-OneByteIdentityH"/>
                <w:lang w:eastAsia="it-IT"/>
              </w:rPr>
              <w:t>e</w:t>
            </w:r>
            <w:r w:rsidR="000662DD" w:rsidRPr="00D9739F">
              <w:rPr>
                <w:rFonts w:eastAsia="CenturyGothic-OneByteIdentityH"/>
                <w:lang w:eastAsia="it-IT"/>
              </w:rPr>
              <w:t xml:space="preserve"> </w:t>
            </w:r>
            <w:r w:rsidRPr="00D9739F">
              <w:rPr>
                <w:rFonts w:eastAsia="CenturyGothic-OneByteIdentityH"/>
                <w:lang w:eastAsia="it-IT"/>
              </w:rPr>
              <w:t xml:space="preserve">di cassa per </w:t>
            </w:r>
            <w:r w:rsidR="00D9739F" w:rsidRPr="00D9739F">
              <w:rPr>
                <w:rFonts w:eastAsia="CenturyGothic-OneByteIdentityH"/>
                <w:lang w:eastAsia="it-IT"/>
              </w:rPr>
              <w:t>il primo esercizio di riferimento;</w:t>
            </w:r>
            <w:r w:rsidR="00923371" w:rsidRPr="00D9739F">
              <w:rPr>
                <w:rFonts w:eastAsia="CenturyGothic-OneByteIdentityH"/>
                <w:lang w:eastAsia="it-IT"/>
              </w:rPr>
              <w:t>;</w:t>
            </w:r>
          </w:p>
          <w:p w:rsidR="002B34CB" w:rsidRPr="001733FE" w:rsidRDefault="002B34CB" w:rsidP="004D0DCD">
            <w:pPr>
              <w:autoSpaceDE w:val="0"/>
              <w:autoSpaceDN w:val="0"/>
              <w:adjustRightInd w:val="0"/>
              <w:spacing w:after="0" w:line="240" w:lineRule="auto"/>
              <w:jc w:val="both"/>
              <w:rPr>
                <w:rFonts w:eastAsia="CenturyGothic-OneByteIdentityH"/>
                <w:lang w:eastAsia="it-IT"/>
              </w:rPr>
            </w:pPr>
            <w:r w:rsidRPr="001733FE">
              <w:rPr>
                <w:rFonts w:eastAsia="CenturyGothic-OneByteIdentityH"/>
                <w:lang w:eastAsia="it-IT"/>
              </w:rPr>
              <w:t>-</w:t>
            </w:r>
            <w:r w:rsidR="00BF35C8" w:rsidRPr="001733FE">
              <w:rPr>
                <w:rFonts w:eastAsia="CenturyGothic-OneByteIdentityH"/>
                <w:lang w:eastAsia="it-IT"/>
              </w:rPr>
              <w:t>per ogni capitolo di entrata è indicato il Cdr che accert</w:t>
            </w:r>
            <w:r w:rsidR="00607A22" w:rsidRPr="001733FE">
              <w:rPr>
                <w:rFonts w:eastAsia="CenturyGothic-OneByteIdentityH"/>
                <w:lang w:eastAsia="it-IT"/>
              </w:rPr>
              <w:t>a la risorsa e, per ogni capito</w:t>
            </w:r>
            <w:r w:rsidR="00BF35C8" w:rsidRPr="001733FE">
              <w:rPr>
                <w:rFonts w:eastAsia="CenturyGothic-OneByteIdentityH"/>
                <w:lang w:eastAsia="it-IT"/>
              </w:rPr>
              <w:t>lo di spesa, è indicato il Cdr di destinazione e il Cdr che impegna;</w:t>
            </w:r>
          </w:p>
          <w:p w:rsidR="00607A22" w:rsidRPr="001733FE" w:rsidRDefault="002B34CB" w:rsidP="004D0DCD">
            <w:pPr>
              <w:autoSpaceDE w:val="0"/>
              <w:autoSpaceDN w:val="0"/>
              <w:adjustRightInd w:val="0"/>
              <w:spacing w:after="0" w:line="240" w:lineRule="auto"/>
              <w:jc w:val="both"/>
              <w:rPr>
                <w:rFonts w:eastAsia="CenturyGothic-OneByteIdentityH"/>
                <w:lang w:eastAsia="it-IT"/>
              </w:rPr>
            </w:pPr>
            <w:r w:rsidRPr="001733FE">
              <w:rPr>
                <w:rFonts w:eastAsia="CenturyGothic-OneByteIdentityH"/>
                <w:lang w:eastAsia="it-IT"/>
              </w:rPr>
              <w:t>-</w:t>
            </w:r>
            <w:r w:rsidR="00BF35C8" w:rsidRPr="001733FE">
              <w:rPr>
                <w:rFonts w:eastAsia="CenturyGothic-OneByteIdentityH"/>
                <w:lang w:eastAsia="it-IT"/>
              </w:rPr>
              <w:t xml:space="preserve"> </w:t>
            </w:r>
            <w:r w:rsidR="000662DD" w:rsidRPr="001733FE">
              <w:rPr>
                <w:rFonts w:eastAsia="CenturyGothic-OneByteIdentityH"/>
                <w:lang w:eastAsia="it-IT"/>
              </w:rPr>
              <w:t>l</w:t>
            </w:r>
            <w:r w:rsidR="00BF35C8" w:rsidRPr="001733FE">
              <w:rPr>
                <w:rFonts w:eastAsia="CenturyGothic-OneByteIdentityH"/>
                <w:lang w:eastAsia="it-IT"/>
              </w:rPr>
              <w:t xml:space="preserve">a parte contabile è integrata con la parte obiettivi nel sw di gestione del </w:t>
            </w:r>
            <w:r w:rsidR="00AC0ACF">
              <w:rPr>
                <w:rFonts w:eastAsia="CenturyGothic-OneByteIdentityH"/>
                <w:lang w:eastAsia="it-IT"/>
              </w:rPr>
              <w:t>PIAO</w:t>
            </w:r>
            <w:r w:rsidR="00BF35C8" w:rsidRPr="001733FE">
              <w:rPr>
                <w:rFonts w:eastAsia="CenturyGothic-OneByteIdentityH"/>
                <w:lang w:eastAsia="it-IT"/>
              </w:rPr>
              <w:t xml:space="preserve"> </w:t>
            </w:r>
            <w:r w:rsidR="00607A22" w:rsidRPr="001733FE">
              <w:rPr>
                <w:rFonts w:eastAsia="CenturyGothic-OneByteIdentityH"/>
                <w:lang w:eastAsia="it-IT"/>
              </w:rPr>
              <w:t>a livel</w:t>
            </w:r>
            <w:r w:rsidR="00BF35C8" w:rsidRPr="001733FE">
              <w:rPr>
                <w:rFonts w:eastAsia="CenturyGothic-OneByteIdentityH"/>
                <w:lang w:eastAsia="it-IT"/>
              </w:rPr>
              <w:t xml:space="preserve">lo di Programma di spesa, la cui attuazione è affidata ai Dirigenti. </w:t>
            </w:r>
          </w:p>
          <w:p w:rsidR="0084384E" w:rsidRPr="001733FE" w:rsidRDefault="0084384E" w:rsidP="004D0DCD">
            <w:pPr>
              <w:autoSpaceDE w:val="0"/>
              <w:autoSpaceDN w:val="0"/>
              <w:adjustRightInd w:val="0"/>
              <w:spacing w:after="0" w:line="240" w:lineRule="auto"/>
              <w:jc w:val="both"/>
              <w:rPr>
                <w:rFonts w:eastAsia="CenturyGothic-OneByteIdentityH"/>
                <w:lang w:eastAsia="it-IT"/>
              </w:rPr>
            </w:pPr>
          </w:p>
          <w:p w:rsidR="0084384E" w:rsidRPr="001733FE" w:rsidRDefault="00BD77AE" w:rsidP="00A8658F">
            <w:pPr>
              <w:autoSpaceDE w:val="0"/>
              <w:autoSpaceDN w:val="0"/>
              <w:adjustRightInd w:val="0"/>
              <w:spacing w:after="0" w:line="240" w:lineRule="auto"/>
              <w:jc w:val="both"/>
              <w:rPr>
                <w:rFonts w:eastAsia="CenturyGothic-OneByteIdentityH"/>
                <w:lang w:eastAsia="it-IT"/>
              </w:rPr>
            </w:pPr>
            <w:r>
              <w:rPr>
                <w:rFonts w:eastAsia="CenturyGothic-OneByteIdentityH"/>
                <w:lang w:eastAsia="it-IT"/>
              </w:rPr>
              <w:t xml:space="preserve">Il </w:t>
            </w:r>
            <w:r w:rsidR="003764A1">
              <w:rPr>
                <w:rFonts w:eastAsia="CenturyGothic-OneByteIdentityH"/>
                <w:lang w:eastAsia="it-IT"/>
              </w:rPr>
              <w:t xml:space="preserve">PIAO comprende la sezione Rischi corruttivi e trasparenza, che è raccordata con la sezione Performance </w:t>
            </w:r>
            <w:r w:rsidR="004640A5" w:rsidRPr="001733FE">
              <w:rPr>
                <w:rFonts w:eastAsia="CenturyGothic-OneByteIdentityH"/>
                <w:lang w:eastAsia="it-IT"/>
              </w:rPr>
              <w:t>attraverso la previsione di specifici obiettivi comuni a tutti i servizi relativamente al rispetto delle misure anticorruzione</w:t>
            </w:r>
            <w:r w:rsidR="00E36B88" w:rsidRPr="001733FE">
              <w:rPr>
                <w:rFonts w:eastAsia="CenturyGothic-OneByteIdentityH"/>
                <w:lang w:eastAsia="it-IT"/>
              </w:rPr>
              <w:t xml:space="preserve"> ed </w:t>
            </w:r>
            <w:r w:rsidR="0084384E" w:rsidRPr="001733FE">
              <w:rPr>
                <w:rFonts w:eastAsia="CenturyGothic-OneByteIdentityH"/>
                <w:lang w:eastAsia="it-IT"/>
              </w:rPr>
              <w:t xml:space="preserve">attraverso la previsione di specifici obiettivi comuni a tutti i servizi relativi all’assolvimento </w:t>
            </w:r>
            <w:r>
              <w:rPr>
                <w:rFonts w:eastAsia="CenturyGothic-OneByteIdentityH"/>
                <w:lang w:eastAsia="it-IT"/>
              </w:rPr>
              <w:t>degli obblighi di pubblicazione.</w:t>
            </w:r>
          </w:p>
          <w:p w:rsidR="00E36B88" w:rsidRPr="001733FE" w:rsidRDefault="00E36B88" w:rsidP="004D0DCD">
            <w:pPr>
              <w:autoSpaceDE w:val="0"/>
              <w:autoSpaceDN w:val="0"/>
              <w:adjustRightInd w:val="0"/>
              <w:spacing w:after="0" w:line="240" w:lineRule="auto"/>
              <w:jc w:val="both"/>
              <w:rPr>
                <w:rFonts w:eastAsia="CenturyGothic-OneByteIdentityH"/>
                <w:lang w:eastAsia="it-IT"/>
              </w:rPr>
            </w:pPr>
          </w:p>
          <w:p w:rsidR="004640A5" w:rsidRPr="001733FE" w:rsidRDefault="00BD77AE" w:rsidP="004D0DCD">
            <w:pPr>
              <w:autoSpaceDE w:val="0"/>
              <w:autoSpaceDN w:val="0"/>
              <w:adjustRightInd w:val="0"/>
              <w:spacing w:after="0" w:line="240" w:lineRule="auto"/>
              <w:jc w:val="both"/>
              <w:rPr>
                <w:rFonts w:eastAsia="CenturyGothic-OneByteIdentityH"/>
                <w:lang w:eastAsia="it-IT"/>
              </w:rPr>
            </w:pPr>
            <w:r>
              <w:rPr>
                <w:rFonts w:eastAsia="CenturyGothic-OneByteIdentityH"/>
                <w:lang w:eastAsia="it-IT"/>
              </w:rPr>
              <w:t>Inoltre, come previsto dal</w:t>
            </w:r>
            <w:r w:rsidR="004640A5" w:rsidRPr="001733FE">
              <w:rPr>
                <w:rFonts w:eastAsia="CenturyGothic-OneByteIdentityH"/>
                <w:lang w:eastAsia="it-IT"/>
              </w:rPr>
              <w:t xml:space="preserve"> vigente Regolamento sui controlli interni </w:t>
            </w:r>
            <w:r>
              <w:rPr>
                <w:rFonts w:eastAsia="CenturyGothic-OneByteIdentityH"/>
                <w:lang w:eastAsia="it-IT"/>
              </w:rPr>
              <w:t>, viene assicurato il controllo</w:t>
            </w:r>
            <w:r w:rsidR="004640A5" w:rsidRPr="001733FE">
              <w:rPr>
                <w:rFonts w:eastAsia="CenturyGothic-OneByteIdentityH"/>
                <w:lang w:eastAsia="it-IT"/>
              </w:rPr>
              <w:t xml:space="preserve"> sugli enti e organismi partecipati, attraverso la previsione di specifici obiettivi </w:t>
            </w:r>
            <w:r>
              <w:rPr>
                <w:rFonts w:eastAsia="CenturyGothic-OneByteIdentityH"/>
                <w:lang w:eastAsia="it-IT"/>
              </w:rPr>
              <w:t>di performance.</w:t>
            </w:r>
          </w:p>
          <w:p w:rsidR="002A5A47" w:rsidRPr="001733FE" w:rsidRDefault="002A5A47" w:rsidP="004D0DCD">
            <w:pPr>
              <w:autoSpaceDE w:val="0"/>
              <w:autoSpaceDN w:val="0"/>
              <w:adjustRightInd w:val="0"/>
              <w:spacing w:after="0" w:line="240" w:lineRule="auto"/>
              <w:jc w:val="both"/>
              <w:rPr>
                <w:rFonts w:eastAsia="CenturyGothic-OneByteIdentityH"/>
                <w:lang w:eastAsia="it-IT"/>
              </w:rPr>
            </w:pPr>
          </w:p>
        </w:tc>
      </w:tr>
    </w:tbl>
    <w:p w:rsidR="009C40FD" w:rsidRPr="001733FE" w:rsidRDefault="009C40FD" w:rsidP="000662DD">
      <w:pPr>
        <w:spacing w:after="0"/>
        <w:rPr>
          <w:b/>
          <w:bCs/>
          <w:lang w:eastAsia="it-IT"/>
        </w:rPr>
      </w:pPr>
    </w:p>
    <w:p w:rsidR="00027DFC" w:rsidRPr="001733FE" w:rsidRDefault="00027DFC" w:rsidP="000662DD">
      <w:pPr>
        <w:spacing w:after="0"/>
        <w:rPr>
          <w:b/>
          <w:bCs/>
          <w:lang w:eastAsia="it-IT"/>
        </w:rPr>
      </w:pPr>
      <w:r w:rsidRPr="001733FE">
        <w:rPr>
          <w:b/>
          <w:bCs/>
          <w:lang w:eastAsia="it-IT"/>
        </w:rPr>
        <w:t>2.</w:t>
      </w:r>
      <w:r w:rsidR="008250AC" w:rsidRPr="001733FE">
        <w:rPr>
          <w:b/>
          <w:bCs/>
          <w:lang w:eastAsia="it-IT"/>
        </w:rPr>
        <w:t>9</w:t>
      </w:r>
      <w:r w:rsidRPr="001733FE">
        <w:rPr>
          <w:b/>
          <w:bCs/>
          <w:lang w:eastAsia="it-IT"/>
        </w:rPr>
        <w:t>._ Grado di raggiungimento degli obiettivi e delle performance gestionali</w:t>
      </w:r>
    </w:p>
    <w:p w:rsidR="00027DFC" w:rsidRPr="001733FE" w:rsidRDefault="00027DFC" w:rsidP="000662DD">
      <w:pPr>
        <w:autoSpaceDE w:val="0"/>
        <w:autoSpaceDN w:val="0"/>
        <w:adjustRightInd w:val="0"/>
        <w:spacing w:after="0" w:line="240" w:lineRule="auto"/>
        <w:jc w:val="both"/>
        <w:rPr>
          <w:rFonts w:eastAsia="CenturyGothic-OneByteIdentityH"/>
          <w:lang w:eastAsia="it-IT"/>
        </w:rPr>
      </w:pPr>
      <w:r w:rsidRPr="001733FE">
        <w:rPr>
          <w:rFonts w:eastAsia="CenturyGothic-OneByteIdentityH"/>
          <w:lang w:eastAsia="it-IT"/>
        </w:rPr>
        <w:t xml:space="preserve">Si </w:t>
      </w:r>
      <w:r w:rsidRPr="005B5F99">
        <w:rPr>
          <w:rFonts w:eastAsia="CenturyGothic-OneByteIdentityH"/>
          <w:lang w:eastAsia="it-IT"/>
        </w:rPr>
        <w:t>riportano, di seguito, alcune informazioni di sintesi sulla valutazione del grado di raggiungimento degli obiettivi e delle performance gestionali</w:t>
      </w:r>
      <w:r w:rsidR="000662DD" w:rsidRPr="005B5F99">
        <w:rPr>
          <w:rFonts w:eastAsia="CenturyGothic-OneByteIdentityH"/>
          <w:lang w:eastAsia="it-IT"/>
        </w:rPr>
        <w:t xml:space="preserve"> </w:t>
      </w:r>
      <w:r w:rsidR="00BD77AE">
        <w:rPr>
          <w:rFonts w:eastAsia="CenturyGothic-OneByteIdentityH"/>
          <w:lang w:eastAsia="it-IT"/>
        </w:rPr>
        <w:t>dell’esercizio 2022</w:t>
      </w:r>
      <w:r w:rsidR="00923371" w:rsidRPr="005B5F99">
        <w:rPr>
          <w:rFonts w:eastAsia="CenturyGothic-OneByteIdentityH"/>
          <w:lang w:eastAsia="it-IT"/>
        </w:rPr>
        <w:t xml:space="preserve"> </w:t>
      </w:r>
      <w:r w:rsidRPr="005B5F99">
        <w:rPr>
          <w:rFonts w:eastAsia="CenturyGothic-OneByteIdentityH"/>
          <w:lang w:eastAsia="it-IT"/>
        </w:rPr>
        <w:t xml:space="preserve">, desunte </w:t>
      </w:r>
      <w:r w:rsidR="00BD77AE">
        <w:rPr>
          <w:rFonts w:eastAsia="CenturyGothic-OneByteIdentityH"/>
          <w:lang w:eastAsia="it-IT"/>
        </w:rPr>
        <w:t>dalla Relazione annuale sulla performance 2022</w:t>
      </w:r>
      <w:r w:rsidR="00354965" w:rsidRPr="005B5F99">
        <w:rPr>
          <w:rFonts w:eastAsia="CenturyGothic-OneByteIdentityH"/>
          <w:i/>
          <w:iCs/>
          <w:lang w:eastAsia="it-IT"/>
        </w:rPr>
        <w:t>.</w:t>
      </w:r>
      <w:r w:rsidR="00923371" w:rsidRPr="005B5F99">
        <w:rPr>
          <w:rFonts w:eastAsia="CenturyGothic-OneByteIdentityH"/>
          <w:i/>
          <w:iCs/>
          <w:lang w:eastAsia="it-IT"/>
        </w:rPr>
        <w:t xml:space="preserve"> </w:t>
      </w:r>
      <w:r w:rsidRPr="005B5F99">
        <w:rPr>
          <w:rFonts w:eastAsia="CenturyGothic-OneByteIdentityH"/>
          <w:lang w:eastAsia="it-IT"/>
        </w:rPr>
        <w:t xml:space="preserve"> Per informazioni più dettaglia</w:t>
      </w:r>
      <w:r w:rsidR="00A8658F" w:rsidRPr="005B5F99">
        <w:rPr>
          <w:rFonts w:eastAsia="CenturyGothic-OneByteIdentityH"/>
          <w:lang w:eastAsia="it-IT"/>
        </w:rPr>
        <w:t xml:space="preserve">te si rimanda </w:t>
      </w:r>
      <w:r w:rsidR="00BD77AE">
        <w:rPr>
          <w:rFonts w:eastAsia="CenturyGothic-OneByteIdentityH"/>
          <w:lang w:eastAsia="it-IT"/>
        </w:rPr>
        <w:t>alla Relazione stessa</w:t>
      </w:r>
      <w:r w:rsidR="00A8658F" w:rsidRPr="005B5F99">
        <w:rPr>
          <w:rFonts w:eastAsia="CenturyGothic-OneByteIdentityH"/>
          <w:lang w:eastAsia="it-IT"/>
        </w:rPr>
        <w:t>, pubblicat</w:t>
      </w:r>
      <w:r w:rsidR="00BD77AE">
        <w:rPr>
          <w:rFonts w:eastAsia="CenturyGothic-OneByteIdentityH"/>
          <w:lang w:eastAsia="it-IT"/>
        </w:rPr>
        <w:t>a</w:t>
      </w:r>
      <w:r w:rsidR="00A8658F" w:rsidRPr="005B5F99">
        <w:rPr>
          <w:rFonts w:eastAsia="CenturyGothic-OneByteIdentityH"/>
          <w:lang w:eastAsia="it-IT"/>
        </w:rPr>
        <w:t xml:space="preserve"> nella sezione </w:t>
      </w:r>
      <w:r w:rsidR="00BD77AE">
        <w:rPr>
          <w:rFonts w:eastAsia="CenturyGothic-OneByteIdentityH"/>
          <w:lang w:eastAsia="it-IT"/>
        </w:rPr>
        <w:t>T</w:t>
      </w:r>
      <w:r w:rsidR="00A8658F" w:rsidRPr="005B5F99">
        <w:rPr>
          <w:rFonts w:eastAsia="CenturyGothic-OneByteIdentityH"/>
          <w:lang w:eastAsia="it-IT"/>
        </w:rPr>
        <w:t>rasparenza del sito istituzionale</w:t>
      </w:r>
      <w:r w:rsidR="00A8658F" w:rsidRPr="001733FE">
        <w:rPr>
          <w:rFonts w:eastAsia="CenturyGothic-OneByteIdentityH"/>
          <w:lang w:eastAsia="it-IT"/>
        </w:rPr>
        <w:t xml:space="preserve"> </w:t>
      </w:r>
    </w:p>
    <w:p w:rsidR="00027DFC" w:rsidRPr="001733FE" w:rsidRDefault="00027DFC" w:rsidP="000662DD">
      <w:pPr>
        <w:autoSpaceDE w:val="0"/>
        <w:autoSpaceDN w:val="0"/>
        <w:adjustRightInd w:val="0"/>
        <w:spacing w:after="0" w:line="240" w:lineRule="auto"/>
        <w:jc w:val="both"/>
        <w:rPr>
          <w:rFonts w:eastAsia="CenturyGothic-OneByteIdentityH"/>
          <w:lang w:eastAsia="it-IT"/>
        </w:rPr>
      </w:pPr>
    </w:p>
    <w:p w:rsidR="001733FE" w:rsidRDefault="00027DFC" w:rsidP="00923371">
      <w:pPr>
        <w:spacing w:after="0"/>
        <w:jc w:val="both"/>
        <w:rPr>
          <w:i/>
        </w:rPr>
      </w:pPr>
      <w:r w:rsidRPr="00923371">
        <w:rPr>
          <w:i/>
        </w:rPr>
        <w:t>Risultato complessivo al 31 dicembre 20</w:t>
      </w:r>
      <w:r w:rsidR="00354965">
        <w:rPr>
          <w:i/>
        </w:rPr>
        <w:t>2</w:t>
      </w:r>
      <w:r w:rsidR="00BD77AE">
        <w:rPr>
          <w:i/>
        </w:rPr>
        <w:t>2</w:t>
      </w:r>
      <w:r w:rsidR="00923371" w:rsidRPr="00923371">
        <w:rPr>
          <w:i/>
        </w:rPr>
        <w:t xml:space="preserve"> </w:t>
      </w:r>
      <w:r w:rsidRPr="00923371">
        <w:rPr>
          <w:i/>
        </w:rPr>
        <w:t xml:space="preserve"> con ra</w:t>
      </w:r>
      <w:r w:rsidR="00923371" w:rsidRPr="00923371">
        <w:rPr>
          <w:i/>
        </w:rPr>
        <w:t xml:space="preserve">ffronto con </w:t>
      </w:r>
      <w:r w:rsidR="00354965">
        <w:rPr>
          <w:i/>
        </w:rPr>
        <w:t>gli esercizi precedenti: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59"/>
        <w:gridCol w:w="3259"/>
        <w:gridCol w:w="3260"/>
      </w:tblGrid>
      <w:tr w:rsidR="00D1668E" w:rsidRPr="003F6DD0" w:rsidTr="003F6DD0">
        <w:tc>
          <w:tcPr>
            <w:tcW w:w="3259" w:type="dxa"/>
          </w:tcPr>
          <w:p w:rsidR="00D1668E" w:rsidRPr="003F6DD0" w:rsidRDefault="00D1668E" w:rsidP="003F6DD0">
            <w:pPr>
              <w:jc w:val="both"/>
              <w:rPr>
                <w:i/>
                <w:iCs/>
              </w:rPr>
            </w:pPr>
            <w:r w:rsidRPr="003F6DD0">
              <w:rPr>
                <w:i/>
                <w:iCs/>
              </w:rPr>
              <w:t>Anno</w:t>
            </w:r>
          </w:p>
        </w:tc>
        <w:tc>
          <w:tcPr>
            <w:tcW w:w="3259" w:type="dxa"/>
          </w:tcPr>
          <w:p w:rsidR="00D1668E" w:rsidRPr="003F6DD0" w:rsidRDefault="00D1668E" w:rsidP="003F6DD0">
            <w:pPr>
              <w:jc w:val="both"/>
              <w:rPr>
                <w:i/>
                <w:iCs/>
              </w:rPr>
            </w:pPr>
            <w:r w:rsidRPr="003F6DD0">
              <w:rPr>
                <w:i/>
                <w:iCs/>
              </w:rPr>
              <w:t>Referto intermedio</w:t>
            </w:r>
          </w:p>
        </w:tc>
        <w:tc>
          <w:tcPr>
            <w:tcW w:w="3260" w:type="dxa"/>
          </w:tcPr>
          <w:p w:rsidR="00D1668E" w:rsidRPr="003F6DD0" w:rsidRDefault="00D1668E" w:rsidP="003F6DD0">
            <w:pPr>
              <w:jc w:val="both"/>
              <w:rPr>
                <w:i/>
                <w:iCs/>
              </w:rPr>
            </w:pPr>
            <w:r w:rsidRPr="003F6DD0">
              <w:rPr>
                <w:i/>
                <w:iCs/>
              </w:rPr>
              <w:t>Referto finale</w:t>
            </w:r>
          </w:p>
        </w:tc>
      </w:tr>
      <w:tr w:rsidR="00D1668E" w:rsidRPr="003F6DD0" w:rsidTr="003F6DD0">
        <w:tc>
          <w:tcPr>
            <w:tcW w:w="3259" w:type="dxa"/>
          </w:tcPr>
          <w:p w:rsidR="00D1668E" w:rsidRPr="003F6DD0" w:rsidRDefault="00D1668E" w:rsidP="003F6DD0">
            <w:pPr>
              <w:jc w:val="both"/>
              <w:rPr>
                <w:i/>
                <w:iCs/>
              </w:rPr>
            </w:pPr>
            <w:r w:rsidRPr="003F6DD0">
              <w:rPr>
                <w:i/>
                <w:iCs/>
              </w:rPr>
              <w:t>2014</w:t>
            </w:r>
          </w:p>
        </w:tc>
        <w:tc>
          <w:tcPr>
            <w:tcW w:w="3259" w:type="dxa"/>
          </w:tcPr>
          <w:p w:rsidR="00D1668E" w:rsidRPr="003F6DD0" w:rsidRDefault="00D1668E" w:rsidP="003F6DD0">
            <w:pPr>
              <w:jc w:val="both"/>
              <w:rPr>
                <w:i/>
                <w:iCs/>
              </w:rPr>
            </w:pPr>
            <w:r w:rsidRPr="003F6DD0">
              <w:rPr>
                <w:i/>
                <w:iCs/>
              </w:rPr>
              <w:t>97,29%</w:t>
            </w:r>
          </w:p>
        </w:tc>
        <w:tc>
          <w:tcPr>
            <w:tcW w:w="3260" w:type="dxa"/>
          </w:tcPr>
          <w:p w:rsidR="00D1668E" w:rsidRPr="003F6DD0" w:rsidRDefault="00D1668E" w:rsidP="003F6DD0">
            <w:pPr>
              <w:jc w:val="both"/>
              <w:rPr>
                <w:i/>
                <w:iCs/>
              </w:rPr>
            </w:pPr>
            <w:r w:rsidRPr="003F6DD0">
              <w:rPr>
                <w:i/>
                <w:iCs/>
              </w:rPr>
              <w:t>99,19%</w:t>
            </w:r>
          </w:p>
        </w:tc>
      </w:tr>
      <w:tr w:rsidR="00D1668E" w:rsidRPr="003F6DD0" w:rsidTr="003F6DD0">
        <w:tc>
          <w:tcPr>
            <w:tcW w:w="3259" w:type="dxa"/>
          </w:tcPr>
          <w:p w:rsidR="00D1668E" w:rsidRPr="003F6DD0" w:rsidRDefault="00D1668E" w:rsidP="003F6DD0">
            <w:pPr>
              <w:jc w:val="both"/>
              <w:rPr>
                <w:i/>
                <w:iCs/>
              </w:rPr>
            </w:pPr>
            <w:r w:rsidRPr="003F6DD0">
              <w:rPr>
                <w:i/>
                <w:iCs/>
              </w:rPr>
              <w:lastRenderedPageBreak/>
              <w:t>2015</w:t>
            </w:r>
          </w:p>
        </w:tc>
        <w:tc>
          <w:tcPr>
            <w:tcW w:w="3259" w:type="dxa"/>
          </w:tcPr>
          <w:p w:rsidR="00D1668E" w:rsidRPr="003F6DD0" w:rsidRDefault="00D1668E" w:rsidP="003F6DD0">
            <w:pPr>
              <w:jc w:val="both"/>
              <w:rPr>
                <w:i/>
                <w:iCs/>
              </w:rPr>
            </w:pPr>
            <w:r w:rsidRPr="003F6DD0">
              <w:rPr>
                <w:i/>
                <w:iCs/>
              </w:rPr>
              <w:t>Non redatto</w:t>
            </w:r>
          </w:p>
        </w:tc>
        <w:tc>
          <w:tcPr>
            <w:tcW w:w="3260" w:type="dxa"/>
          </w:tcPr>
          <w:p w:rsidR="00D1668E" w:rsidRPr="003F6DD0" w:rsidRDefault="00D1668E" w:rsidP="003F6DD0">
            <w:pPr>
              <w:jc w:val="both"/>
              <w:rPr>
                <w:i/>
                <w:iCs/>
              </w:rPr>
            </w:pPr>
            <w:r w:rsidRPr="003F6DD0">
              <w:rPr>
                <w:i/>
                <w:iCs/>
              </w:rPr>
              <w:t>96,61%</w:t>
            </w:r>
          </w:p>
        </w:tc>
      </w:tr>
      <w:tr w:rsidR="00D1668E" w:rsidRPr="003F6DD0" w:rsidTr="003F6DD0">
        <w:tc>
          <w:tcPr>
            <w:tcW w:w="3259" w:type="dxa"/>
          </w:tcPr>
          <w:p w:rsidR="00D1668E" w:rsidRPr="003F6DD0" w:rsidRDefault="00D1668E" w:rsidP="003F6DD0">
            <w:pPr>
              <w:jc w:val="both"/>
              <w:rPr>
                <w:i/>
                <w:iCs/>
              </w:rPr>
            </w:pPr>
            <w:r w:rsidRPr="003F6DD0">
              <w:rPr>
                <w:i/>
                <w:iCs/>
              </w:rPr>
              <w:t>2016</w:t>
            </w:r>
          </w:p>
        </w:tc>
        <w:tc>
          <w:tcPr>
            <w:tcW w:w="3259" w:type="dxa"/>
          </w:tcPr>
          <w:p w:rsidR="00D1668E" w:rsidRPr="003F6DD0" w:rsidRDefault="00D1668E" w:rsidP="003F6DD0">
            <w:pPr>
              <w:jc w:val="both"/>
              <w:rPr>
                <w:i/>
                <w:iCs/>
              </w:rPr>
            </w:pPr>
            <w:r w:rsidRPr="003F6DD0">
              <w:rPr>
                <w:i/>
                <w:iCs/>
              </w:rPr>
              <w:t>92,99%</w:t>
            </w:r>
          </w:p>
        </w:tc>
        <w:tc>
          <w:tcPr>
            <w:tcW w:w="3260" w:type="dxa"/>
          </w:tcPr>
          <w:p w:rsidR="00D1668E" w:rsidRPr="003F6DD0" w:rsidRDefault="00D1668E" w:rsidP="003F6DD0">
            <w:pPr>
              <w:jc w:val="both"/>
              <w:rPr>
                <w:i/>
                <w:iCs/>
              </w:rPr>
            </w:pPr>
            <w:r w:rsidRPr="003F6DD0">
              <w:rPr>
                <w:i/>
                <w:iCs/>
              </w:rPr>
              <w:t>99,69%</w:t>
            </w:r>
          </w:p>
        </w:tc>
      </w:tr>
      <w:tr w:rsidR="00D1668E" w:rsidRPr="003F6DD0" w:rsidTr="003F6DD0">
        <w:tc>
          <w:tcPr>
            <w:tcW w:w="3259" w:type="dxa"/>
          </w:tcPr>
          <w:p w:rsidR="00D1668E" w:rsidRPr="003F6DD0" w:rsidRDefault="00D1668E" w:rsidP="003F6DD0">
            <w:pPr>
              <w:jc w:val="both"/>
              <w:rPr>
                <w:i/>
                <w:iCs/>
              </w:rPr>
            </w:pPr>
            <w:r w:rsidRPr="003F6DD0">
              <w:rPr>
                <w:i/>
                <w:iCs/>
              </w:rPr>
              <w:t>2017</w:t>
            </w:r>
          </w:p>
        </w:tc>
        <w:tc>
          <w:tcPr>
            <w:tcW w:w="3259" w:type="dxa"/>
          </w:tcPr>
          <w:p w:rsidR="00D1668E" w:rsidRPr="003F6DD0" w:rsidRDefault="00D1668E" w:rsidP="003F6DD0">
            <w:pPr>
              <w:jc w:val="both"/>
              <w:rPr>
                <w:i/>
                <w:iCs/>
              </w:rPr>
            </w:pPr>
            <w:r w:rsidRPr="003F6DD0">
              <w:rPr>
                <w:i/>
                <w:iCs/>
              </w:rPr>
              <w:t>92,69%</w:t>
            </w:r>
          </w:p>
        </w:tc>
        <w:tc>
          <w:tcPr>
            <w:tcW w:w="3260" w:type="dxa"/>
          </w:tcPr>
          <w:p w:rsidR="00D1668E" w:rsidRPr="003F6DD0" w:rsidRDefault="00D1668E" w:rsidP="003F6DD0">
            <w:pPr>
              <w:jc w:val="both"/>
              <w:rPr>
                <w:i/>
                <w:iCs/>
              </w:rPr>
            </w:pPr>
            <w:r w:rsidRPr="003F6DD0">
              <w:rPr>
                <w:i/>
                <w:iCs/>
              </w:rPr>
              <w:t>99,93%</w:t>
            </w:r>
          </w:p>
        </w:tc>
      </w:tr>
      <w:tr w:rsidR="00D1668E" w:rsidRPr="003F6DD0" w:rsidTr="003F6DD0">
        <w:tc>
          <w:tcPr>
            <w:tcW w:w="3259" w:type="dxa"/>
          </w:tcPr>
          <w:p w:rsidR="00D1668E" w:rsidRPr="003F6DD0" w:rsidRDefault="00D1668E" w:rsidP="003F6DD0">
            <w:pPr>
              <w:jc w:val="both"/>
              <w:rPr>
                <w:i/>
                <w:iCs/>
              </w:rPr>
            </w:pPr>
            <w:r w:rsidRPr="003F6DD0">
              <w:rPr>
                <w:i/>
                <w:iCs/>
              </w:rPr>
              <w:t>2018</w:t>
            </w:r>
          </w:p>
        </w:tc>
        <w:tc>
          <w:tcPr>
            <w:tcW w:w="3259" w:type="dxa"/>
          </w:tcPr>
          <w:p w:rsidR="00D1668E" w:rsidRPr="003F6DD0" w:rsidRDefault="00D1668E" w:rsidP="003F6DD0">
            <w:pPr>
              <w:jc w:val="both"/>
              <w:rPr>
                <w:i/>
                <w:iCs/>
              </w:rPr>
            </w:pPr>
            <w:r w:rsidRPr="003F6DD0">
              <w:rPr>
                <w:i/>
                <w:iCs/>
              </w:rPr>
              <w:t>Non redatto</w:t>
            </w:r>
          </w:p>
        </w:tc>
        <w:tc>
          <w:tcPr>
            <w:tcW w:w="3260" w:type="dxa"/>
          </w:tcPr>
          <w:p w:rsidR="00D1668E" w:rsidRPr="003F6DD0" w:rsidRDefault="00D1668E" w:rsidP="003F6DD0">
            <w:pPr>
              <w:jc w:val="both"/>
              <w:rPr>
                <w:i/>
                <w:iCs/>
              </w:rPr>
            </w:pPr>
            <w:r w:rsidRPr="003F6DD0">
              <w:rPr>
                <w:i/>
                <w:iCs/>
              </w:rPr>
              <w:t>98,81%</w:t>
            </w:r>
          </w:p>
        </w:tc>
      </w:tr>
      <w:tr w:rsidR="00D1668E" w:rsidRPr="003F6DD0" w:rsidTr="003F6DD0">
        <w:tc>
          <w:tcPr>
            <w:tcW w:w="3259" w:type="dxa"/>
          </w:tcPr>
          <w:p w:rsidR="00D1668E" w:rsidRPr="003F6DD0" w:rsidRDefault="00D1668E" w:rsidP="003F6DD0">
            <w:pPr>
              <w:jc w:val="both"/>
              <w:rPr>
                <w:i/>
                <w:iCs/>
              </w:rPr>
            </w:pPr>
            <w:r w:rsidRPr="003F6DD0">
              <w:rPr>
                <w:i/>
                <w:iCs/>
              </w:rPr>
              <w:t>2019</w:t>
            </w:r>
          </w:p>
        </w:tc>
        <w:tc>
          <w:tcPr>
            <w:tcW w:w="3259" w:type="dxa"/>
          </w:tcPr>
          <w:p w:rsidR="00D1668E" w:rsidRPr="003F6DD0" w:rsidRDefault="00D1668E" w:rsidP="003F6DD0">
            <w:pPr>
              <w:jc w:val="both"/>
              <w:rPr>
                <w:i/>
                <w:iCs/>
              </w:rPr>
            </w:pPr>
            <w:r w:rsidRPr="003F6DD0">
              <w:rPr>
                <w:i/>
                <w:iCs/>
              </w:rPr>
              <w:t>95,05%</w:t>
            </w:r>
          </w:p>
        </w:tc>
        <w:tc>
          <w:tcPr>
            <w:tcW w:w="3260" w:type="dxa"/>
          </w:tcPr>
          <w:p w:rsidR="00D1668E" w:rsidRPr="003F6DD0" w:rsidRDefault="00D1668E" w:rsidP="003F6DD0">
            <w:pPr>
              <w:jc w:val="both"/>
              <w:rPr>
                <w:i/>
                <w:iCs/>
              </w:rPr>
            </w:pPr>
            <w:r w:rsidRPr="003F6DD0">
              <w:rPr>
                <w:i/>
                <w:iCs/>
              </w:rPr>
              <w:t>99,88%</w:t>
            </w:r>
          </w:p>
        </w:tc>
      </w:tr>
      <w:tr w:rsidR="00147F05" w:rsidRPr="003F6DD0" w:rsidTr="00CD322D">
        <w:tc>
          <w:tcPr>
            <w:tcW w:w="3259" w:type="dxa"/>
          </w:tcPr>
          <w:p w:rsidR="00147F05" w:rsidRPr="003F6DD0" w:rsidRDefault="00147F05" w:rsidP="003F6DD0">
            <w:pPr>
              <w:jc w:val="both"/>
              <w:rPr>
                <w:i/>
                <w:iCs/>
              </w:rPr>
            </w:pPr>
            <w:r>
              <w:rPr>
                <w:i/>
                <w:iCs/>
              </w:rPr>
              <w:t>2020</w:t>
            </w:r>
          </w:p>
        </w:tc>
        <w:tc>
          <w:tcPr>
            <w:tcW w:w="3259" w:type="dxa"/>
            <w:vAlign w:val="center"/>
          </w:tcPr>
          <w:p w:rsidR="00147F05" w:rsidRPr="00147F05" w:rsidRDefault="00147F05" w:rsidP="00147F05">
            <w:pPr>
              <w:jc w:val="both"/>
              <w:rPr>
                <w:i/>
                <w:iCs/>
              </w:rPr>
            </w:pPr>
            <w:r w:rsidRPr="00147F05">
              <w:rPr>
                <w:i/>
                <w:iCs/>
              </w:rPr>
              <w:t>97,62%</w:t>
            </w:r>
          </w:p>
        </w:tc>
        <w:tc>
          <w:tcPr>
            <w:tcW w:w="3260" w:type="dxa"/>
            <w:vAlign w:val="center"/>
          </w:tcPr>
          <w:p w:rsidR="00147F05" w:rsidRPr="00147F05" w:rsidRDefault="00147F05" w:rsidP="00147F05">
            <w:pPr>
              <w:jc w:val="both"/>
              <w:rPr>
                <w:i/>
                <w:iCs/>
              </w:rPr>
            </w:pPr>
            <w:r w:rsidRPr="00147F05">
              <w:rPr>
                <w:i/>
                <w:iCs/>
              </w:rPr>
              <w:t>99,88%</w:t>
            </w:r>
          </w:p>
        </w:tc>
      </w:tr>
      <w:tr w:rsidR="00147F05" w:rsidRPr="003F6DD0" w:rsidTr="00CD322D">
        <w:tc>
          <w:tcPr>
            <w:tcW w:w="3259" w:type="dxa"/>
          </w:tcPr>
          <w:p w:rsidR="00147F05" w:rsidRPr="003F6DD0" w:rsidRDefault="00147F05" w:rsidP="003F6DD0">
            <w:pPr>
              <w:jc w:val="both"/>
              <w:rPr>
                <w:i/>
                <w:iCs/>
              </w:rPr>
            </w:pPr>
            <w:r>
              <w:rPr>
                <w:i/>
                <w:iCs/>
              </w:rPr>
              <w:t>2021</w:t>
            </w:r>
          </w:p>
        </w:tc>
        <w:tc>
          <w:tcPr>
            <w:tcW w:w="3259" w:type="dxa"/>
            <w:vAlign w:val="center"/>
          </w:tcPr>
          <w:p w:rsidR="00147F05" w:rsidRPr="00147F05" w:rsidRDefault="00147F05" w:rsidP="00147F05">
            <w:pPr>
              <w:jc w:val="both"/>
              <w:rPr>
                <w:i/>
                <w:iCs/>
              </w:rPr>
            </w:pPr>
            <w:r w:rsidRPr="00147F05">
              <w:rPr>
                <w:i/>
                <w:iCs/>
              </w:rPr>
              <w:t>98,22%</w:t>
            </w:r>
          </w:p>
        </w:tc>
        <w:tc>
          <w:tcPr>
            <w:tcW w:w="3260" w:type="dxa"/>
            <w:vAlign w:val="center"/>
          </w:tcPr>
          <w:p w:rsidR="00147F05" w:rsidRPr="00147F05" w:rsidRDefault="00147F05" w:rsidP="00147F05">
            <w:pPr>
              <w:jc w:val="both"/>
              <w:rPr>
                <w:i/>
                <w:iCs/>
              </w:rPr>
            </w:pPr>
            <w:r w:rsidRPr="00147F05">
              <w:rPr>
                <w:i/>
                <w:iCs/>
              </w:rPr>
              <w:t>99,31%</w:t>
            </w:r>
          </w:p>
        </w:tc>
      </w:tr>
      <w:tr w:rsidR="00BD77AE" w:rsidRPr="003F6DD0" w:rsidTr="00CD322D">
        <w:tc>
          <w:tcPr>
            <w:tcW w:w="3259" w:type="dxa"/>
          </w:tcPr>
          <w:p w:rsidR="00BD77AE" w:rsidRDefault="00BD77AE" w:rsidP="003F6DD0">
            <w:pPr>
              <w:jc w:val="both"/>
              <w:rPr>
                <w:i/>
                <w:iCs/>
              </w:rPr>
            </w:pPr>
            <w:r>
              <w:rPr>
                <w:i/>
                <w:iCs/>
              </w:rPr>
              <w:t>2022</w:t>
            </w:r>
          </w:p>
        </w:tc>
        <w:tc>
          <w:tcPr>
            <w:tcW w:w="3259" w:type="dxa"/>
            <w:vAlign w:val="center"/>
          </w:tcPr>
          <w:p w:rsidR="00BD77AE" w:rsidRPr="00BD77AE" w:rsidRDefault="00BD77AE" w:rsidP="00BD77AE">
            <w:pPr>
              <w:jc w:val="both"/>
              <w:rPr>
                <w:i/>
                <w:iCs/>
              </w:rPr>
            </w:pPr>
            <w:r w:rsidRPr="00BD77AE">
              <w:rPr>
                <w:i/>
                <w:iCs/>
              </w:rPr>
              <w:t>98,32%</w:t>
            </w:r>
          </w:p>
        </w:tc>
        <w:tc>
          <w:tcPr>
            <w:tcW w:w="3260" w:type="dxa"/>
            <w:vAlign w:val="center"/>
          </w:tcPr>
          <w:p w:rsidR="00BD77AE" w:rsidRPr="00BD77AE" w:rsidRDefault="00BD77AE" w:rsidP="00BD77AE">
            <w:pPr>
              <w:jc w:val="both"/>
              <w:rPr>
                <w:i/>
                <w:iCs/>
              </w:rPr>
            </w:pPr>
            <w:r w:rsidRPr="00BD77AE">
              <w:rPr>
                <w:i/>
                <w:iCs/>
              </w:rPr>
              <w:t>99,97%</w:t>
            </w:r>
          </w:p>
        </w:tc>
      </w:tr>
    </w:tbl>
    <w:p w:rsidR="00923371" w:rsidRDefault="00923371" w:rsidP="00027DFC">
      <w:pPr>
        <w:autoSpaceDE w:val="0"/>
        <w:autoSpaceDN w:val="0"/>
        <w:adjustRightInd w:val="0"/>
        <w:spacing w:after="0" w:line="240" w:lineRule="auto"/>
        <w:jc w:val="both"/>
        <w:rPr>
          <w:rFonts w:eastAsia="CenturyGothic-OneByteIdentityH"/>
          <w:lang w:eastAsia="it-IT"/>
        </w:rPr>
      </w:pPr>
    </w:p>
    <w:p w:rsidR="00027DFC" w:rsidRPr="001733FE" w:rsidRDefault="00027DFC" w:rsidP="00027DFC">
      <w:pPr>
        <w:autoSpaceDE w:val="0"/>
        <w:autoSpaceDN w:val="0"/>
        <w:adjustRightInd w:val="0"/>
        <w:spacing w:after="0" w:line="240" w:lineRule="auto"/>
        <w:jc w:val="both"/>
        <w:rPr>
          <w:rFonts w:eastAsia="CenturyGothic-OneByteIdentityH"/>
          <w:lang w:eastAsia="it-IT"/>
        </w:rPr>
      </w:pPr>
      <w:r w:rsidRPr="001733FE">
        <w:rPr>
          <w:rFonts w:eastAsia="CenturyGothic-OneByteIdentityH"/>
          <w:lang w:eastAsia="it-IT"/>
        </w:rPr>
        <w:t>In linea di massima si rileva un trend costante</w:t>
      </w:r>
      <w:r w:rsidR="000662DD" w:rsidRPr="001733FE">
        <w:rPr>
          <w:rFonts w:eastAsia="CenturyGothic-OneByteIdentityH"/>
          <w:lang w:eastAsia="it-IT"/>
        </w:rPr>
        <w:t xml:space="preserve"> di risultato;</w:t>
      </w:r>
      <w:r w:rsidRPr="001733FE">
        <w:rPr>
          <w:rFonts w:eastAsia="CenturyGothic-OneByteIdentityH"/>
          <w:lang w:eastAsia="it-IT"/>
        </w:rPr>
        <w:t xml:space="preserve"> sugli obiettivi di comportamento organizzativo (rispetto dei tempi, esaustività delle procedure di programmazione e controllo) si registrano delle performance decisamente soddisfacenti. </w:t>
      </w:r>
    </w:p>
    <w:p w:rsidR="00027DFC" w:rsidRDefault="00027DFC" w:rsidP="00027DFC">
      <w:pPr>
        <w:autoSpaceDE w:val="0"/>
        <w:autoSpaceDN w:val="0"/>
        <w:adjustRightInd w:val="0"/>
        <w:spacing w:after="0" w:line="240" w:lineRule="auto"/>
        <w:jc w:val="both"/>
        <w:rPr>
          <w:rFonts w:eastAsia="CenturyGothic-OneByteIdentityH"/>
          <w:lang w:eastAsia="it-IT"/>
        </w:rPr>
      </w:pPr>
      <w:r w:rsidRPr="001733FE">
        <w:rPr>
          <w:rFonts w:eastAsia="CenturyGothic-OneByteIdentityH"/>
          <w:lang w:eastAsia="it-IT"/>
        </w:rPr>
        <w:t>In progressivo miglioramento inoltre anche la qualità delle informazioni inserite nei diversi database e il rispetto dei tempi.</w:t>
      </w:r>
    </w:p>
    <w:p w:rsidR="009C40FD" w:rsidRPr="001733FE" w:rsidRDefault="009C40FD" w:rsidP="00027DFC">
      <w:pPr>
        <w:autoSpaceDE w:val="0"/>
        <w:autoSpaceDN w:val="0"/>
        <w:adjustRightInd w:val="0"/>
        <w:spacing w:after="0" w:line="240" w:lineRule="auto"/>
        <w:jc w:val="both"/>
        <w:rPr>
          <w:rFonts w:eastAsia="CenturyGothic-OneByteIdentityH"/>
          <w:lang w:eastAsia="it-IT"/>
        </w:rPr>
      </w:pPr>
    </w:p>
    <w:p w:rsidR="009C40FD" w:rsidRPr="001733FE" w:rsidRDefault="009C40FD" w:rsidP="009C40FD">
      <w:pPr>
        <w:spacing w:after="0"/>
        <w:jc w:val="both"/>
        <w:rPr>
          <w:b/>
          <w:bCs/>
          <w:lang w:eastAsia="it-IT"/>
        </w:rPr>
      </w:pPr>
      <w:r w:rsidRPr="00A679A9">
        <w:rPr>
          <w:b/>
          <w:bCs/>
          <w:lang w:eastAsia="it-IT"/>
        </w:rPr>
        <w:t>3._ SISTEMA PREMIALE</w:t>
      </w:r>
    </w:p>
    <w:p w:rsidR="009C40FD" w:rsidRPr="001733FE" w:rsidRDefault="009C40FD" w:rsidP="009C40FD">
      <w:pPr>
        <w:spacing w:after="0"/>
        <w:jc w:val="both"/>
        <w:rPr>
          <w:b/>
          <w:bCs/>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89"/>
        <w:gridCol w:w="4889"/>
      </w:tblGrid>
      <w:tr w:rsidR="00711F69" w:rsidRPr="001733FE" w:rsidTr="00503C14">
        <w:tc>
          <w:tcPr>
            <w:tcW w:w="4889" w:type="dxa"/>
          </w:tcPr>
          <w:p w:rsidR="00711F69" w:rsidRPr="001733FE" w:rsidRDefault="00711F69" w:rsidP="00503C14">
            <w:pPr>
              <w:rPr>
                <w:highlight w:val="yellow"/>
              </w:rPr>
            </w:pPr>
            <w:r w:rsidRPr="001733FE">
              <w:rPr>
                <w:i/>
                <w:iCs/>
                <w:lang w:eastAsia="it-IT"/>
              </w:rPr>
              <w:t>Grado di correlazione tra esiti del sistema di misurazione e valutazione e struttura del sistema premiale – Direttore generale, Segretario Generale</w:t>
            </w:r>
          </w:p>
        </w:tc>
        <w:tc>
          <w:tcPr>
            <w:tcW w:w="4889" w:type="dxa"/>
          </w:tcPr>
          <w:p w:rsidR="00711F69" w:rsidRPr="004B5FAE" w:rsidRDefault="004B5FAE" w:rsidP="004B5FAE">
            <w:pPr>
              <w:autoSpaceDE w:val="0"/>
              <w:autoSpaceDN w:val="0"/>
            </w:pPr>
            <w:r>
              <w:t>La valutazione del Segretario generale ha comportato il 100,00% della distribuzione del budget.</w:t>
            </w:r>
          </w:p>
        </w:tc>
      </w:tr>
      <w:tr w:rsidR="00711F69" w:rsidRPr="001733FE" w:rsidTr="00503C14">
        <w:tc>
          <w:tcPr>
            <w:tcW w:w="4889" w:type="dxa"/>
          </w:tcPr>
          <w:p w:rsidR="00711F69" w:rsidRPr="001733FE" w:rsidRDefault="00711F69" w:rsidP="00503C14">
            <w:pPr>
              <w:autoSpaceDE w:val="0"/>
              <w:autoSpaceDN w:val="0"/>
              <w:adjustRightInd w:val="0"/>
              <w:spacing w:after="0" w:line="240" w:lineRule="auto"/>
              <w:rPr>
                <w:i/>
                <w:iCs/>
                <w:lang w:eastAsia="it-IT"/>
              </w:rPr>
            </w:pPr>
            <w:r w:rsidRPr="001733FE">
              <w:rPr>
                <w:i/>
                <w:iCs/>
                <w:lang w:eastAsia="it-IT"/>
              </w:rPr>
              <w:t>Grado di correlazione tra esiti del sistema di</w:t>
            </w:r>
          </w:p>
          <w:p w:rsidR="00711F69" w:rsidRPr="001733FE" w:rsidRDefault="00711F69" w:rsidP="00503C14">
            <w:pPr>
              <w:autoSpaceDE w:val="0"/>
              <w:autoSpaceDN w:val="0"/>
              <w:adjustRightInd w:val="0"/>
              <w:spacing w:after="0" w:line="240" w:lineRule="auto"/>
              <w:rPr>
                <w:highlight w:val="yellow"/>
              </w:rPr>
            </w:pPr>
            <w:r w:rsidRPr="001733FE">
              <w:rPr>
                <w:i/>
                <w:iCs/>
                <w:lang w:eastAsia="it-IT"/>
              </w:rPr>
              <w:t xml:space="preserve">misurazione e valutazione e struttura del sistema premiale – </w:t>
            </w:r>
            <w:r w:rsidRPr="001733FE">
              <w:rPr>
                <w:bCs/>
                <w:i/>
                <w:iCs/>
                <w:lang w:eastAsia="it-IT"/>
              </w:rPr>
              <w:t>dirigenti Area/Apicali</w:t>
            </w:r>
          </w:p>
        </w:tc>
        <w:tc>
          <w:tcPr>
            <w:tcW w:w="4889" w:type="dxa"/>
          </w:tcPr>
          <w:p w:rsidR="00711F69" w:rsidRPr="004B5FAE" w:rsidRDefault="004B5FAE" w:rsidP="004B5FAE">
            <w:r>
              <w:t xml:space="preserve">Nel complesso i dirigenti hanno una valutazione elevata. La valutazione media </w:t>
            </w:r>
            <w:r w:rsidR="002A6E78">
              <w:t xml:space="preserve">ammonta a  </w:t>
            </w:r>
            <w:r>
              <w:t>99,</w:t>
            </w:r>
            <w:r w:rsidR="005044C1">
              <w:t>88</w:t>
            </w:r>
            <w:r w:rsidR="002A6E78">
              <w:t>:</w:t>
            </w:r>
          </w:p>
          <w:p w:rsidR="00711F69" w:rsidRDefault="005044C1" w:rsidP="004B5FAE">
            <w:pPr>
              <w:autoSpaceDE w:val="0"/>
              <w:autoSpaceDN w:val="0"/>
            </w:pPr>
            <w:r>
              <w:t>Un dirigente</w:t>
            </w:r>
            <w:r w:rsidR="002A6E78">
              <w:t xml:space="preserve"> su nove (</w:t>
            </w:r>
            <w:r>
              <w:t>11</w:t>
            </w:r>
            <w:r w:rsidR="002A6E78">
              <w:t>%) ha ottenuto una valutazione di poco superiore a 9</w:t>
            </w:r>
            <w:r>
              <w:t>8</w:t>
            </w:r>
            <w:r w:rsidR="002A6E78">
              <w:t>,00.</w:t>
            </w:r>
          </w:p>
          <w:p w:rsidR="005044C1" w:rsidRDefault="002A6E78" w:rsidP="004B5FAE">
            <w:pPr>
              <w:autoSpaceDE w:val="0"/>
              <w:autoSpaceDN w:val="0"/>
            </w:pPr>
            <w:r>
              <w:t>Non sono</w:t>
            </w:r>
            <w:r w:rsidR="005044C1">
              <w:t xml:space="preserve"> presenti valutazioni negative.</w:t>
            </w:r>
          </w:p>
          <w:p w:rsidR="002A6E78" w:rsidRPr="004B5FAE" w:rsidRDefault="005044C1" w:rsidP="004B5FAE">
            <w:pPr>
              <w:autoSpaceDE w:val="0"/>
              <w:autoSpaceDN w:val="0"/>
            </w:pPr>
            <w:r>
              <w:t>Sono state attribuite due</w:t>
            </w:r>
            <w:r w:rsidR="002A6E78">
              <w:t xml:space="preserve"> valutazioni di eccellenza.</w:t>
            </w:r>
          </w:p>
          <w:p w:rsidR="00711F69" w:rsidRPr="004B5FAE" w:rsidRDefault="002A6E78" w:rsidP="00563141">
            <w:pPr>
              <w:autoSpaceDE w:val="0"/>
              <w:autoSpaceDN w:val="0"/>
            </w:pPr>
            <w:r>
              <w:t>Il premio di risultato mediamente distribuito è stato pari all’</w:t>
            </w:r>
            <w:r w:rsidR="00563141">
              <w:t>93</w:t>
            </w:r>
            <w:r>
              <w:t>,</w:t>
            </w:r>
            <w:r w:rsidR="00563141">
              <w:t>73</w:t>
            </w:r>
            <w:r>
              <w:t>% del budget stanziato, in linea con l’esercizio 20</w:t>
            </w:r>
            <w:r w:rsidR="00563141">
              <w:t>21</w:t>
            </w:r>
            <w:r>
              <w:t xml:space="preserve"> (</w:t>
            </w:r>
            <w:r w:rsidR="00563141">
              <w:t>92,94</w:t>
            </w:r>
            <w:r>
              <w:t>%).</w:t>
            </w:r>
          </w:p>
        </w:tc>
      </w:tr>
    </w:tbl>
    <w:p w:rsidR="009C40FD" w:rsidRPr="001733FE" w:rsidRDefault="009C40FD" w:rsidP="009C40FD">
      <w:pPr>
        <w:spacing w:line="360" w:lineRule="auto"/>
        <w:ind w:left="993" w:right="567" w:hanging="993"/>
        <w:jc w:val="both"/>
      </w:pPr>
    </w:p>
    <w:p w:rsidR="00210242" w:rsidRPr="00243DA4" w:rsidRDefault="00210242" w:rsidP="00243DA4">
      <w:pPr>
        <w:autoSpaceDE w:val="0"/>
        <w:autoSpaceDN w:val="0"/>
        <w:adjustRightInd w:val="0"/>
        <w:spacing w:after="0" w:line="240" w:lineRule="auto"/>
        <w:jc w:val="both"/>
        <w:rPr>
          <w:rFonts w:eastAsia="CenturyGothic-OneByteIdentityH"/>
          <w:b/>
          <w:lang w:eastAsia="it-IT"/>
        </w:rPr>
      </w:pPr>
      <w:r w:rsidRPr="00243DA4">
        <w:rPr>
          <w:rFonts w:eastAsia="CenturyGothic-OneByteIdentityH"/>
          <w:b/>
          <w:lang w:eastAsia="it-IT"/>
        </w:rPr>
        <w:t>AGGREGAZIONI STATISTICHE – DATI A CONFRONTO - POSIZIONI ORGANIZZATIVE, ALTE PROFESSIONALITA’, PERSONALE DELLE CATEGORIE.</w:t>
      </w:r>
    </w:p>
    <w:p w:rsidR="00243DA4" w:rsidRDefault="00243DA4" w:rsidP="00243DA4">
      <w:pPr>
        <w:autoSpaceDE w:val="0"/>
        <w:autoSpaceDN w:val="0"/>
        <w:adjustRightInd w:val="0"/>
        <w:spacing w:after="0" w:line="240" w:lineRule="auto"/>
        <w:jc w:val="both"/>
        <w:rPr>
          <w:rFonts w:eastAsia="CenturyGothic-OneByteIdentityH"/>
          <w:lang w:eastAsia="it-IT"/>
        </w:rPr>
      </w:pPr>
    </w:p>
    <w:p w:rsidR="00210242" w:rsidRPr="00243DA4" w:rsidRDefault="00210242" w:rsidP="00243DA4">
      <w:pPr>
        <w:autoSpaceDE w:val="0"/>
        <w:autoSpaceDN w:val="0"/>
        <w:adjustRightInd w:val="0"/>
        <w:spacing w:after="0" w:line="240" w:lineRule="auto"/>
        <w:jc w:val="both"/>
        <w:rPr>
          <w:rFonts w:eastAsia="CenturyGothic-OneByteIdentityH"/>
          <w:lang w:eastAsia="it-IT"/>
        </w:rPr>
      </w:pPr>
      <w:r w:rsidRPr="00243DA4">
        <w:rPr>
          <w:rFonts w:eastAsia="CenturyGothic-OneByteIdentityH"/>
          <w:lang w:eastAsia="it-IT"/>
        </w:rPr>
        <w:t>Nella presente sezione sono stati inseriti in forma aggregata, distinti per categoria, i dati relativi alla distribuzione del personale nelle varie fasce di punteggio.</w:t>
      </w:r>
    </w:p>
    <w:p w:rsidR="00FC6D4D" w:rsidRDefault="00FC6D4D" w:rsidP="00243DA4">
      <w:pPr>
        <w:autoSpaceDE w:val="0"/>
        <w:autoSpaceDN w:val="0"/>
        <w:adjustRightInd w:val="0"/>
        <w:spacing w:after="0" w:line="240" w:lineRule="auto"/>
        <w:jc w:val="both"/>
        <w:rPr>
          <w:rFonts w:eastAsia="CenturyGothic-OneByteIdentityH"/>
          <w:lang w:eastAsia="it-IT"/>
        </w:rPr>
      </w:pPr>
    </w:p>
    <w:p w:rsidR="009D7BB2" w:rsidRDefault="00210242" w:rsidP="00243DA4">
      <w:pPr>
        <w:autoSpaceDE w:val="0"/>
        <w:autoSpaceDN w:val="0"/>
        <w:adjustRightInd w:val="0"/>
        <w:spacing w:after="0" w:line="240" w:lineRule="auto"/>
        <w:jc w:val="both"/>
        <w:rPr>
          <w:rFonts w:eastAsia="CenturyGothic-OneByteIdentityH"/>
          <w:lang w:eastAsia="it-IT"/>
        </w:rPr>
      </w:pPr>
      <w:r w:rsidRPr="00243DA4">
        <w:rPr>
          <w:rFonts w:eastAsia="CenturyGothic-OneByteIdentityH"/>
          <w:lang w:eastAsia="it-IT"/>
        </w:rPr>
        <w:lastRenderedPageBreak/>
        <w:t xml:space="preserve">La seguente tabella </w:t>
      </w:r>
      <w:r w:rsidR="00243DA4">
        <w:rPr>
          <w:rFonts w:eastAsia="CenturyGothic-OneByteIdentityH"/>
          <w:lang w:eastAsia="it-IT"/>
        </w:rPr>
        <w:t>1</w:t>
      </w:r>
      <w:r w:rsidRPr="00243DA4">
        <w:rPr>
          <w:rFonts w:eastAsia="CenturyGothic-OneByteIdentityH"/>
          <w:lang w:eastAsia="it-IT"/>
        </w:rPr>
        <w:t>) riporta, per gli anni 20</w:t>
      </w:r>
      <w:r w:rsidR="00D21EC4">
        <w:rPr>
          <w:rFonts w:eastAsia="CenturyGothic-OneByteIdentityH"/>
          <w:lang w:eastAsia="it-IT"/>
        </w:rPr>
        <w:t>20</w:t>
      </w:r>
      <w:r w:rsidRPr="00243DA4">
        <w:rPr>
          <w:rFonts w:eastAsia="CenturyGothic-OneByteIdentityH"/>
          <w:lang w:eastAsia="it-IT"/>
        </w:rPr>
        <w:t>-20</w:t>
      </w:r>
      <w:r w:rsidR="00C6742D">
        <w:rPr>
          <w:rFonts w:eastAsia="CenturyGothic-OneByteIdentityH"/>
          <w:lang w:eastAsia="it-IT"/>
        </w:rPr>
        <w:t>2</w:t>
      </w:r>
      <w:r w:rsidR="00D21EC4">
        <w:rPr>
          <w:rFonts w:eastAsia="CenturyGothic-OneByteIdentityH"/>
          <w:lang w:eastAsia="it-IT"/>
        </w:rPr>
        <w:t>2</w:t>
      </w:r>
      <w:r w:rsidRPr="00243DA4">
        <w:rPr>
          <w:rFonts w:eastAsia="CenturyGothic-OneByteIdentityH"/>
          <w:lang w:eastAsia="it-IT"/>
        </w:rPr>
        <w:t>, il numero dei dipendenti valutati per ciascun anno e la distribuzione degli stessi per fascia di valutazione</w:t>
      </w:r>
      <w:r w:rsidR="00FC6D4D">
        <w:rPr>
          <w:rFonts w:eastAsia="CenturyGothic-OneByteIdentityH"/>
          <w:lang w:eastAsia="it-IT"/>
        </w:rPr>
        <w:t>:</w:t>
      </w:r>
    </w:p>
    <w:p w:rsidR="009D7BB2" w:rsidRPr="00243DA4" w:rsidRDefault="009D7BB2" w:rsidP="00243DA4">
      <w:pPr>
        <w:autoSpaceDE w:val="0"/>
        <w:autoSpaceDN w:val="0"/>
        <w:adjustRightInd w:val="0"/>
        <w:spacing w:after="0" w:line="240" w:lineRule="auto"/>
        <w:jc w:val="both"/>
        <w:rPr>
          <w:rFonts w:eastAsia="CenturyGothic-OneByteIdentityH"/>
          <w:lang w:eastAsia="it-IT"/>
        </w:rPr>
      </w:pPr>
    </w:p>
    <w:p w:rsidR="00A45BBE" w:rsidRDefault="00A45BBE" w:rsidP="00210242">
      <w:pPr>
        <w:spacing w:line="360" w:lineRule="auto"/>
        <w:ind w:right="567"/>
        <w:jc w:val="both"/>
        <w:rPr>
          <w:b/>
          <w:i/>
        </w:rPr>
      </w:pPr>
    </w:p>
    <w:p w:rsidR="00210242" w:rsidRPr="00C6742D" w:rsidRDefault="00210242" w:rsidP="00210242">
      <w:pPr>
        <w:spacing w:line="360" w:lineRule="auto"/>
        <w:ind w:right="567"/>
        <w:jc w:val="both"/>
        <w:rPr>
          <w:b/>
          <w:i/>
        </w:rPr>
      </w:pPr>
      <w:r w:rsidRPr="00C6742D">
        <w:rPr>
          <w:b/>
          <w:i/>
        </w:rPr>
        <w:t xml:space="preserve">Tab. </w:t>
      </w:r>
      <w:r w:rsidR="00243DA4" w:rsidRPr="00C6742D">
        <w:rPr>
          <w:b/>
          <w:i/>
        </w:rPr>
        <w:t>1</w:t>
      </w:r>
      <w:r w:rsidRPr="00C6742D">
        <w:rPr>
          <w:b/>
          <w:i/>
        </w:rPr>
        <w:t>)</w:t>
      </w:r>
    </w:p>
    <w:tbl>
      <w:tblPr>
        <w:tblW w:w="9280" w:type="dxa"/>
        <w:tblInd w:w="60" w:type="dxa"/>
        <w:tblCellMar>
          <w:left w:w="70" w:type="dxa"/>
          <w:right w:w="70" w:type="dxa"/>
        </w:tblCellMar>
        <w:tblLook w:val="04A0"/>
      </w:tblPr>
      <w:tblGrid>
        <w:gridCol w:w="1096"/>
        <w:gridCol w:w="1424"/>
        <w:gridCol w:w="1305"/>
        <w:gridCol w:w="1476"/>
        <w:gridCol w:w="1212"/>
        <w:gridCol w:w="1033"/>
        <w:gridCol w:w="1734"/>
      </w:tblGrid>
      <w:tr w:rsidR="00697214" w:rsidRPr="00AD0809" w:rsidTr="00D8521A">
        <w:trPr>
          <w:trHeight w:val="563"/>
        </w:trPr>
        <w:tc>
          <w:tcPr>
            <w:tcW w:w="1096" w:type="dxa"/>
            <w:tcBorders>
              <w:top w:val="single" w:sz="8" w:space="0" w:color="auto"/>
              <w:left w:val="single" w:sz="8" w:space="0" w:color="auto"/>
              <w:bottom w:val="nil"/>
              <w:right w:val="single" w:sz="4" w:space="0" w:color="auto"/>
            </w:tcBorders>
            <w:shd w:val="clear" w:color="auto" w:fill="auto"/>
            <w:noWrap/>
            <w:vAlign w:val="bottom"/>
            <w:hideMark/>
          </w:tcPr>
          <w:p w:rsidR="00697214" w:rsidRPr="00AD0809" w:rsidRDefault="00697214" w:rsidP="009D7BB2">
            <w:pPr>
              <w:rPr>
                <w:rFonts w:cs="Calibri"/>
                <w:color w:val="000000"/>
                <w:lang w:eastAsia="it-IT"/>
              </w:rPr>
            </w:pPr>
            <w:r w:rsidRPr="00AD0809">
              <w:rPr>
                <w:rFonts w:cs="Calibri"/>
                <w:color w:val="000000"/>
                <w:lang w:eastAsia="it-IT"/>
              </w:rPr>
              <w:t> </w:t>
            </w:r>
          </w:p>
        </w:tc>
        <w:tc>
          <w:tcPr>
            <w:tcW w:w="1424" w:type="dxa"/>
            <w:tcBorders>
              <w:top w:val="single" w:sz="8" w:space="0" w:color="auto"/>
              <w:left w:val="nil"/>
              <w:bottom w:val="nil"/>
              <w:right w:val="single" w:sz="4" w:space="0" w:color="auto"/>
            </w:tcBorders>
            <w:shd w:val="clear" w:color="auto" w:fill="auto"/>
            <w:vAlign w:val="center"/>
            <w:hideMark/>
          </w:tcPr>
          <w:p w:rsidR="00697214" w:rsidRPr="00AD0809" w:rsidRDefault="00697214" w:rsidP="009D7BB2">
            <w:pPr>
              <w:jc w:val="center"/>
              <w:rPr>
                <w:rFonts w:cs="Calibri"/>
                <w:b/>
                <w:bCs/>
                <w:i/>
                <w:iCs/>
                <w:color w:val="000000"/>
                <w:lang w:eastAsia="it-IT"/>
              </w:rPr>
            </w:pPr>
            <w:r w:rsidRPr="00AD0809">
              <w:rPr>
                <w:rFonts w:cs="Calibri"/>
                <w:b/>
                <w:bCs/>
                <w:i/>
                <w:iCs/>
                <w:color w:val="000000"/>
                <w:lang w:eastAsia="it-IT"/>
              </w:rPr>
              <w:t>TOT. DIPENDENTI VALUTATI</w:t>
            </w:r>
          </w:p>
        </w:tc>
        <w:tc>
          <w:tcPr>
            <w:tcW w:w="6760" w:type="dxa"/>
            <w:gridSpan w:val="5"/>
            <w:tcBorders>
              <w:top w:val="single" w:sz="8" w:space="0" w:color="auto"/>
              <w:left w:val="nil"/>
              <w:bottom w:val="single" w:sz="4" w:space="0" w:color="auto"/>
              <w:right w:val="single" w:sz="8" w:space="0" w:color="000000"/>
            </w:tcBorders>
            <w:shd w:val="clear" w:color="auto" w:fill="auto"/>
            <w:noWrap/>
            <w:vAlign w:val="center"/>
            <w:hideMark/>
          </w:tcPr>
          <w:p w:rsidR="00697214" w:rsidRPr="00AD0809" w:rsidRDefault="00697214" w:rsidP="009D7BB2">
            <w:pPr>
              <w:jc w:val="center"/>
              <w:rPr>
                <w:rFonts w:ascii="Arial" w:hAnsi="Arial" w:cs="Arial"/>
                <w:b/>
                <w:bCs/>
                <w:i/>
                <w:iCs/>
                <w:sz w:val="20"/>
                <w:szCs w:val="20"/>
                <w:lang w:eastAsia="it-IT"/>
              </w:rPr>
            </w:pPr>
            <w:r w:rsidRPr="00AD0809">
              <w:rPr>
                <w:rFonts w:ascii="Arial" w:hAnsi="Arial" w:cs="Arial"/>
                <w:b/>
                <w:bCs/>
                <w:i/>
                <w:iCs/>
                <w:sz w:val="20"/>
                <w:szCs w:val="20"/>
                <w:lang w:eastAsia="it-IT"/>
              </w:rPr>
              <w:t>FASCE DI VALUTAZIONE</w:t>
            </w:r>
          </w:p>
        </w:tc>
      </w:tr>
      <w:tr w:rsidR="00697214" w:rsidRPr="00AD0809" w:rsidTr="00D8521A">
        <w:trPr>
          <w:trHeight w:val="188"/>
        </w:trPr>
        <w:tc>
          <w:tcPr>
            <w:tcW w:w="1096" w:type="dxa"/>
            <w:tcBorders>
              <w:top w:val="nil"/>
              <w:left w:val="single" w:sz="8" w:space="0" w:color="auto"/>
              <w:bottom w:val="nil"/>
              <w:right w:val="single" w:sz="4" w:space="0" w:color="auto"/>
            </w:tcBorders>
            <w:shd w:val="clear" w:color="auto" w:fill="auto"/>
            <w:noWrap/>
            <w:vAlign w:val="bottom"/>
            <w:hideMark/>
          </w:tcPr>
          <w:p w:rsidR="00697214" w:rsidRPr="00AD0809" w:rsidRDefault="00697214" w:rsidP="009D7BB2">
            <w:pPr>
              <w:rPr>
                <w:rFonts w:cs="Calibri"/>
                <w:color w:val="000000"/>
                <w:lang w:eastAsia="it-IT"/>
              </w:rPr>
            </w:pPr>
            <w:r w:rsidRPr="00AD0809">
              <w:rPr>
                <w:rFonts w:cs="Calibri"/>
                <w:color w:val="000000"/>
                <w:lang w:eastAsia="it-IT"/>
              </w:rPr>
              <w:t> </w:t>
            </w:r>
          </w:p>
        </w:tc>
        <w:tc>
          <w:tcPr>
            <w:tcW w:w="1424" w:type="dxa"/>
            <w:tcBorders>
              <w:top w:val="nil"/>
              <w:left w:val="nil"/>
              <w:bottom w:val="nil"/>
              <w:right w:val="single" w:sz="4" w:space="0" w:color="auto"/>
            </w:tcBorders>
            <w:shd w:val="clear" w:color="auto" w:fill="auto"/>
            <w:noWrap/>
            <w:vAlign w:val="bottom"/>
            <w:hideMark/>
          </w:tcPr>
          <w:p w:rsidR="00697214" w:rsidRPr="00AD0809" w:rsidRDefault="00697214" w:rsidP="009D7BB2">
            <w:pPr>
              <w:rPr>
                <w:rFonts w:cs="Calibri"/>
                <w:b/>
                <w:bCs/>
                <w:i/>
                <w:iCs/>
                <w:color w:val="000000"/>
                <w:lang w:eastAsia="it-IT"/>
              </w:rPr>
            </w:pPr>
            <w:r w:rsidRPr="00AD0809">
              <w:rPr>
                <w:rFonts w:cs="Calibri"/>
                <w:b/>
                <w:bCs/>
                <w:i/>
                <w:iCs/>
                <w:color w:val="000000"/>
                <w:lang w:eastAsia="it-IT"/>
              </w:rPr>
              <w:t> </w:t>
            </w:r>
          </w:p>
        </w:tc>
        <w:tc>
          <w:tcPr>
            <w:tcW w:w="1305" w:type="dxa"/>
            <w:tcBorders>
              <w:top w:val="nil"/>
              <w:left w:val="nil"/>
              <w:bottom w:val="nil"/>
              <w:right w:val="nil"/>
            </w:tcBorders>
            <w:shd w:val="clear" w:color="auto" w:fill="auto"/>
            <w:noWrap/>
            <w:vAlign w:val="bottom"/>
            <w:hideMark/>
          </w:tcPr>
          <w:p w:rsidR="00697214" w:rsidRPr="00AD0809" w:rsidRDefault="00697214" w:rsidP="009D7BB2">
            <w:pPr>
              <w:jc w:val="center"/>
              <w:rPr>
                <w:rFonts w:ascii="Arial" w:hAnsi="Arial" w:cs="Arial"/>
                <w:sz w:val="16"/>
                <w:szCs w:val="16"/>
                <w:lang w:eastAsia="it-IT"/>
              </w:rPr>
            </w:pPr>
          </w:p>
        </w:tc>
        <w:tc>
          <w:tcPr>
            <w:tcW w:w="1476" w:type="dxa"/>
            <w:vMerge w:val="restart"/>
            <w:tcBorders>
              <w:top w:val="nil"/>
              <w:left w:val="single" w:sz="4" w:space="0" w:color="auto"/>
              <w:bottom w:val="nil"/>
              <w:right w:val="single" w:sz="4" w:space="0" w:color="auto"/>
            </w:tcBorders>
            <w:shd w:val="clear" w:color="auto" w:fill="auto"/>
            <w:noWrap/>
            <w:vAlign w:val="center"/>
            <w:hideMark/>
          </w:tcPr>
          <w:p w:rsidR="00697214" w:rsidRPr="00AD0809" w:rsidRDefault="00697214" w:rsidP="009D7BB2">
            <w:pPr>
              <w:jc w:val="center"/>
              <w:rPr>
                <w:rFonts w:ascii="Arial" w:hAnsi="Arial" w:cs="Arial"/>
                <w:b/>
                <w:bCs/>
                <w:sz w:val="16"/>
                <w:szCs w:val="16"/>
                <w:lang w:eastAsia="it-IT"/>
              </w:rPr>
            </w:pPr>
            <w:r w:rsidRPr="00AD0809">
              <w:rPr>
                <w:rFonts w:ascii="Arial" w:hAnsi="Arial" w:cs="Arial"/>
                <w:b/>
                <w:bCs/>
                <w:sz w:val="16"/>
                <w:szCs w:val="16"/>
                <w:lang w:eastAsia="it-IT"/>
              </w:rPr>
              <w:t>Non conforme</w:t>
            </w:r>
          </w:p>
        </w:tc>
        <w:tc>
          <w:tcPr>
            <w:tcW w:w="1212" w:type="dxa"/>
            <w:vMerge w:val="restart"/>
            <w:tcBorders>
              <w:top w:val="nil"/>
              <w:left w:val="single" w:sz="4" w:space="0" w:color="auto"/>
              <w:bottom w:val="nil"/>
              <w:right w:val="single" w:sz="4" w:space="0" w:color="auto"/>
            </w:tcBorders>
            <w:shd w:val="clear" w:color="auto" w:fill="auto"/>
            <w:noWrap/>
            <w:vAlign w:val="center"/>
            <w:hideMark/>
          </w:tcPr>
          <w:p w:rsidR="00697214" w:rsidRPr="00AD0809" w:rsidRDefault="00697214" w:rsidP="009D7BB2">
            <w:pPr>
              <w:jc w:val="center"/>
              <w:rPr>
                <w:rFonts w:ascii="Arial" w:hAnsi="Arial" w:cs="Arial"/>
                <w:b/>
                <w:bCs/>
                <w:color w:val="000000"/>
                <w:sz w:val="16"/>
                <w:szCs w:val="16"/>
                <w:lang w:eastAsia="it-IT"/>
              </w:rPr>
            </w:pPr>
            <w:r w:rsidRPr="00AD0809">
              <w:rPr>
                <w:rFonts w:ascii="Arial" w:hAnsi="Arial" w:cs="Arial"/>
                <w:b/>
                <w:bCs/>
                <w:color w:val="000000"/>
                <w:sz w:val="16"/>
                <w:szCs w:val="16"/>
                <w:lang w:eastAsia="it-IT"/>
              </w:rPr>
              <w:t>Migliorabile</w:t>
            </w:r>
          </w:p>
        </w:tc>
        <w:tc>
          <w:tcPr>
            <w:tcW w:w="1033" w:type="dxa"/>
            <w:vMerge w:val="restart"/>
            <w:tcBorders>
              <w:top w:val="nil"/>
              <w:left w:val="single" w:sz="4" w:space="0" w:color="auto"/>
              <w:bottom w:val="nil"/>
              <w:right w:val="single" w:sz="4" w:space="0" w:color="auto"/>
            </w:tcBorders>
            <w:shd w:val="clear" w:color="auto" w:fill="auto"/>
            <w:noWrap/>
            <w:vAlign w:val="center"/>
            <w:hideMark/>
          </w:tcPr>
          <w:p w:rsidR="00697214" w:rsidRPr="00AD0809" w:rsidRDefault="00697214" w:rsidP="009D7BB2">
            <w:pPr>
              <w:jc w:val="center"/>
              <w:rPr>
                <w:rFonts w:ascii="Arial" w:hAnsi="Arial" w:cs="Arial"/>
                <w:b/>
                <w:bCs/>
                <w:color w:val="000000"/>
                <w:sz w:val="16"/>
                <w:szCs w:val="16"/>
                <w:lang w:eastAsia="it-IT"/>
              </w:rPr>
            </w:pPr>
            <w:r w:rsidRPr="00AD0809">
              <w:rPr>
                <w:rFonts w:ascii="Arial" w:hAnsi="Arial" w:cs="Arial"/>
                <w:b/>
                <w:bCs/>
                <w:color w:val="000000"/>
                <w:sz w:val="16"/>
                <w:szCs w:val="16"/>
                <w:lang w:eastAsia="it-IT"/>
              </w:rPr>
              <w:t>Conforme</w:t>
            </w:r>
          </w:p>
        </w:tc>
        <w:tc>
          <w:tcPr>
            <w:tcW w:w="1734" w:type="dxa"/>
            <w:vMerge w:val="restart"/>
            <w:tcBorders>
              <w:top w:val="nil"/>
              <w:left w:val="single" w:sz="4" w:space="0" w:color="auto"/>
              <w:bottom w:val="nil"/>
              <w:right w:val="single" w:sz="8" w:space="0" w:color="auto"/>
            </w:tcBorders>
            <w:shd w:val="clear" w:color="auto" w:fill="auto"/>
            <w:noWrap/>
            <w:vAlign w:val="center"/>
            <w:hideMark/>
          </w:tcPr>
          <w:p w:rsidR="00697214" w:rsidRPr="00AD0809" w:rsidRDefault="00697214" w:rsidP="009D7BB2">
            <w:pPr>
              <w:jc w:val="center"/>
              <w:rPr>
                <w:rFonts w:ascii="Arial" w:hAnsi="Arial" w:cs="Arial"/>
                <w:b/>
                <w:bCs/>
                <w:color w:val="000000"/>
                <w:sz w:val="16"/>
                <w:szCs w:val="16"/>
                <w:lang w:eastAsia="it-IT"/>
              </w:rPr>
            </w:pPr>
            <w:r w:rsidRPr="00AD0809">
              <w:rPr>
                <w:rFonts w:ascii="Arial" w:hAnsi="Arial" w:cs="Arial"/>
                <w:b/>
                <w:bCs/>
                <w:color w:val="000000"/>
                <w:sz w:val="16"/>
                <w:szCs w:val="16"/>
                <w:lang w:eastAsia="it-IT"/>
              </w:rPr>
              <w:t>Eccellente</w:t>
            </w:r>
          </w:p>
        </w:tc>
      </w:tr>
      <w:tr w:rsidR="00697214" w:rsidRPr="00AD0809" w:rsidTr="00D8521A">
        <w:trPr>
          <w:trHeight w:val="197"/>
        </w:trPr>
        <w:tc>
          <w:tcPr>
            <w:tcW w:w="1096" w:type="dxa"/>
            <w:tcBorders>
              <w:top w:val="nil"/>
              <w:left w:val="single" w:sz="8" w:space="0" w:color="auto"/>
              <w:bottom w:val="nil"/>
              <w:right w:val="single" w:sz="4" w:space="0" w:color="auto"/>
            </w:tcBorders>
            <w:shd w:val="clear" w:color="auto" w:fill="auto"/>
            <w:noWrap/>
            <w:vAlign w:val="bottom"/>
            <w:hideMark/>
          </w:tcPr>
          <w:p w:rsidR="00697214" w:rsidRPr="00AD0809" w:rsidRDefault="00697214" w:rsidP="009D7BB2">
            <w:pPr>
              <w:rPr>
                <w:rFonts w:cs="Calibri"/>
                <w:color w:val="000000"/>
                <w:lang w:eastAsia="it-IT"/>
              </w:rPr>
            </w:pPr>
            <w:r w:rsidRPr="00AD0809">
              <w:rPr>
                <w:rFonts w:cs="Calibri"/>
                <w:color w:val="000000"/>
                <w:lang w:eastAsia="it-IT"/>
              </w:rPr>
              <w:t> </w:t>
            </w:r>
          </w:p>
        </w:tc>
        <w:tc>
          <w:tcPr>
            <w:tcW w:w="1424" w:type="dxa"/>
            <w:tcBorders>
              <w:top w:val="nil"/>
              <w:left w:val="nil"/>
              <w:bottom w:val="nil"/>
              <w:right w:val="single" w:sz="4" w:space="0" w:color="auto"/>
            </w:tcBorders>
            <w:shd w:val="clear" w:color="auto" w:fill="auto"/>
            <w:noWrap/>
            <w:vAlign w:val="bottom"/>
            <w:hideMark/>
          </w:tcPr>
          <w:p w:rsidR="00697214" w:rsidRPr="00AD0809" w:rsidRDefault="00697214" w:rsidP="009D7BB2">
            <w:pPr>
              <w:rPr>
                <w:rFonts w:cs="Calibri"/>
                <w:b/>
                <w:bCs/>
                <w:i/>
                <w:iCs/>
                <w:color w:val="000000"/>
                <w:lang w:eastAsia="it-IT"/>
              </w:rPr>
            </w:pPr>
            <w:r w:rsidRPr="00AD0809">
              <w:rPr>
                <w:rFonts w:cs="Calibri"/>
                <w:b/>
                <w:bCs/>
                <w:i/>
                <w:iCs/>
                <w:color w:val="000000"/>
                <w:lang w:eastAsia="it-IT"/>
              </w:rPr>
              <w:t> </w:t>
            </w:r>
          </w:p>
        </w:tc>
        <w:tc>
          <w:tcPr>
            <w:tcW w:w="1305" w:type="dxa"/>
            <w:tcBorders>
              <w:top w:val="nil"/>
              <w:left w:val="nil"/>
              <w:bottom w:val="nil"/>
              <w:right w:val="nil"/>
            </w:tcBorders>
            <w:shd w:val="clear" w:color="auto" w:fill="auto"/>
            <w:noWrap/>
            <w:vAlign w:val="bottom"/>
            <w:hideMark/>
          </w:tcPr>
          <w:p w:rsidR="00697214" w:rsidRPr="00AD0809" w:rsidRDefault="00697214" w:rsidP="009D7BB2">
            <w:pPr>
              <w:jc w:val="center"/>
              <w:rPr>
                <w:rFonts w:cs="Calibri"/>
                <w:color w:val="000000"/>
                <w:lang w:eastAsia="it-IT"/>
              </w:rPr>
            </w:pPr>
          </w:p>
        </w:tc>
        <w:tc>
          <w:tcPr>
            <w:tcW w:w="1476" w:type="dxa"/>
            <w:vMerge/>
            <w:tcBorders>
              <w:top w:val="nil"/>
              <w:left w:val="single" w:sz="4" w:space="0" w:color="auto"/>
              <w:bottom w:val="nil"/>
              <w:right w:val="single" w:sz="4" w:space="0" w:color="auto"/>
            </w:tcBorders>
            <w:vAlign w:val="center"/>
            <w:hideMark/>
          </w:tcPr>
          <w:p w:rsidR="00697214" w:rsidRPr="00AD0809" w:rsidRDefault="00697214" w:rsidP="009D7BB2">
            <w:pPr>
              <w:rPr>
                <w:rFonts w:ascii="Arial" w:hAnsi="Arial" w:cs="Arial"/>
                <w:b/>
                <w:bCs/>
                <w:sz w:val="16"/>
                <w:szCs w:val="16"/>
                <w:lang w:eastAsia="it-IT"/>
              </w:rPr>
            </w:pPr>
          </w:p>
        </w:tc>
        <w:tc>
          <w:tcPr>
            <w:tcW w:w="1212" w:type="dxa"/>
            <w:vMerge/>
            <w:tcBorders>
              <w:top w:val="nil"/>
              <w:left w:val="single" w:sz="4" w:space="0" w:color="auto"/>
              <w:bottom w:val="nil"/>
              <w:right w:val="single" w:sz="4" w:space="0" w:color="auto"/>
            </w:tcBorders>
            <w:vAlign w:val="center"/>
            <w:hideMark/>
          </w:tcPr>
          <w:p w:rsidR="00697214" w:rsidRPr="00AD0809" w:rsidRDefault="00697214" w:rsidP="009D7BB2">
            <w:pPr>
              <w:rPr>
                <w:rFonts w:ascii="Arial" w:hAnsi="Arial" w:cs="Arial"/>
                <w:b/>
                <w:bCs/>
                <w:color w:val="000000"/>
                <w:sz w:val="16"/>
                <w:szCs w:val="16"/>
                <w:lang w:eastAsia="it-IT"/>
              </w:rPr>
            </w:pPr>
          </w:p>
        </w:tc>
        <w:tc>
          <w:tcPr>
            <w:tcW w:w="1033" w:type="dxa"/>
            <w:vMerge/>
            <w:tcBorders>
              <w:top w:val="nil"/>
              <w:left w:val="single" w:sz="4" w:space="0" w:color="auto"/>
              <w:bottom w:val="nil"/>
              <w:right w:val="single" w:sz="4" w:space="0" w:color="auto"/>
            </w:tcBorders>
            <w:vAlign w:val="center"/>
            <w:hideMark/>
          </w:tcPr>
          <w:p w:rsidR="00697214" w:rsidRPr="00AD0809" w:rsidRDefault="00697214" w:rsidP="009D7BB2">
            <w:pPr>
              <w:rPr>
                <w:rFonts w:ascii="Arial" w:hAnsi="Arial" w:cs="Arial"/>
                <w:b/>
                <w:bCs/>
                <w:color w:val="000000"/>
                <w:sz w:val="16"/>
                <w:szCs w:val="16"/>
                <w:lang w:eastAsia="it-IT"/>
              </w:rPr>
            </w:pPr>
          </w:p>
        </w:tc>
        <w:tc>
          <w:tcPr>
            <w:tcW w:w="1734" w:type="dxa"/>
            <w:vMerge/>
            <w:tcBorders>
              <w:top w:val="nil"/>
              <w:left w:val="single" w:sz="4" w:space="0" w:color="auto"/>
              <w:bottom w:val="nil"/>
              <w:right w:val="single" w:sz="8" w:space="0" w:color="auto"/>
            </w:tcBorders>
            <w:vAlign w:val="center"/>
            <w:hideMark/>
          </w:tcPr>
          <w:p w:rsidR="00697214" w:rsidRPr="00AD0809" w:rsidRDefault="00697214" w:rsidP="009D7BB2">
            <w:pPr>
              <w:rPr>
                <w:rFonts w:ascii="Arial" w:hAnsi="Arial" w:cs="Arial"/>
                <w:b/>
                <w:bCs/>
                <w:color w:val="000000"/>
                <w:sz w:val="16"/>
                <w:szCs w:val="16"/>
                <w:lang w:eastAsia="it-IT"/>
              </w:rPr>
            </w:pPr>
          </w:p>
        </w:tc>
      </w:tr>
      <w:tr w:rsidR="00697214" w:rsidRPr="00AD0809" w:rsidTr="00D8521A">
        <w:trPr>
          <w:trHeight w:val="188"/>
        </w:trPr>
        <w:tc>
          <w:tcPr>
            <w:tcW w:w="1096" w:type="dxa"/>
            <w:tcBorders>
              <w:top w:val="single" w:sz="8" w:space="0" w:color="auto"/>
              <w:left w:val="single" w:sz="8" w:space="0" w:color="auto"/>
              <w:bottom w:val="nil"/>
              <w:right w:val="single" w:sz="4" w:space="0" w:color="auto"/>
            </w:tcBorders>
            <w:shd w:val="clear" w:color="auto" w:fill="auto"/>
            <w:noWrap/>
            <w:vAlign w:val="bottom"/>
            <w:hideMark/>
          </w:tcPr>
          <w:p w:rsidR="00697214" w:rsidRPr="00AD0809" w:rsidRDefault="00697214" w:rsidP="009D7BB2">
            <w:pPr>
              <w:rPr>
                <w:rFonts w:cs="Calibri"/>
                <w:color w:val="000000"/>
                <w:lang w:eastAsia="it-IT"/>
              </w:rPr>
            </w:pPr>
            <w:r w:rsidRPr="00AD0809">
              <w:rPr>
                <w:rFonts w:cs="Calibri"/>
                <w:color w:val="000000"/>
                <w:lang w:eastAsia="it-IT"/>
              </w:rPr>
              <w:t>ANNO 2020</w:t>
            </w:r>
          </w:p>
        </w:tc>
        <w:tc>
          <w:tcPr>
            <w:tcW w:w="1424" w:type="dxa"/>
            <w:tcBorders>
              <w:top w:val="single" w:sz="8" w:space="0" w:color="auto"/>
              <w:left w:val="nil"/>
              <w:bottom w:val="nil"/>
              <w:right w:val="single" w:sz="4" w:space="0" w:color="auto"/>
            </w:tcBorders>
            <w:shd w:val="clear" w:color="auto" w:fill="auto"/>
            <w:noWrap/>
            <w:vAlign w:val="bottom"/>
            <w:hideMark/>
          </w:tcPr>
          <w:p w:rsidR="00697214" w:rsidRPr="00AD0809" w:rsidRDefault="00697214" w:rsidP="009D7BB2">
            <w:pPr>
              <w:jc w:val="center"/>
              <w:rPr>
                <w:rFonts w:cs="Calibri"/>
                <w:b/>
                <w:bCs/>
                <w:i/>
                <w:iCs/>
                <w:color w:val="000000"/>
                <w:lang w:eastAsia="it-IT"/>
              </w:rPr>
            </w:pPr>
            <w:r w:rsidRPr="00AD0809">
              <w:rPr>
                <w:rFonts w:cs="Calibri"/>
                <w:b/>
                <w:bCs/>
                <w:i/>
                <w:iCs/>
                <w:color w:val="000000"/>
                <w:lang w:eastAsia="it-IT"/>
              </w:rPr>
              <w:t>300</w:t>
            </w:r>
          </w:p>
        </w:tc>
        <w:tc>
          <w:tcPr>
            <w:tcW w:w="1305" w:type="dxa"/>
            <w:tcBorders>
              <w:top w:val="single" w:sz="8" w:space="0" w:color="auto"/>
              <w:left w:val="nil"/>
              <w:bottom w:val="nil"/>
              <w:right w:val="nil"/>
            </w:tcBorders>
            <w:shd w:val="clear" w:color="auto" w:fill="auto"/>
            <w:noWrap/>
            <w:vAlign w:val="bottom"/>
            <w:hideMark/>
          </w:tcPr>
          <w:p w:rsidR="00697214" w:rsidRPr="00AD0809" w:rsidRDefault="00697214" w:rsidP="009D7BB2">
            <w:pPr>
              <w:jc w:val="center"/>
              <w:rPr>
                <w:rFonts w:cs="Calibri"/>
                <w:i/>
                <w:iCs/>
                <w:color w:val="000000"/>
                <w:sz w:val="18"/>
                <w:szCs w:val="18"/>
                <w:lang w:eastAsia="it-IT"/>
              </w:rPr>
            </w:pPr>
            <w:r w:rsidRPr="00AD0809">
              <w:rPr>
                <w:rFonts w:cs="Calibri"/>
                <w:i/>
                <w:iCs/>
                <w:color w:val="000000"/>
                <w:sz w:val="18"/>
                <w:szCs w:val="18"/>
                <w:lang w:eastAsia="it-IT"/>
              </w:rPr>
              <w:t>n. dipendenti</w:t>
            </w:r>
          </w:p>
        </w:tc>
        <w:tc>
          <w:tcPr>
            <w:tcW w:w="1476" w:type="dxa"/>
            <w:tcBorders>
              <w:top w:val="single" w:sz="8" w:space="0" w:color="auto"/>
              <w:left w:val="single" w:sz="4" w:space="0" w:color="auto"/>
              <w:bottom w:val="nil"/>
              <w:right w:val="single" w:sz="4" w:space="0" w:color="auto"/>
            </w:tcBorders>
            <w:shd w:val="clear" w:color="auto" w:fill="auto"/>
            <w:noWrap/>
            <w:vAlign w:val="bottom"/>
            <w:hideMark/>
          </w:tcPr>
          <w:p w:rsidR="00697214" w:rsidRPr="00AD0809" w:rsidRDefault="00697214" w:rsidP="009D7BB2">
            <w:pPr>
              <w:jc w:val="center"/>
              <w:rPr>
                <w:rFonts w:cs="Calibri"/>
                <w:i/>
                <w:iCs/>
                <w:color w:val="000000"/>
                <w:sz w:val="18"/>
                <w:szCs w:val="18"/>
                <w:lang w:eastAsia="it-IT"/>
              </w:rPr>
            </w:pPr>
            <w:r w:rsidRPr="00AD0809">
              <w:rPr>
                <w:rFonts w:cs="Calibri"/>
                <w:i/>
                <w:iCs/>
                <w:color w:val="000000"/>
                <w:sz w:val="18"/>
                <w:szCs w:val="18"/>
                <w:lang w:eastAsia="it-IT"/>
              </w:rPr>
              <w:t>0</w:t>
            </w:r>
          </w:p>
        </w:tc>
        <w:tc>
          <w:tcPr>
            <w:tcW w:w="1212" w:type="dxa"/>
            <w:tcBorders>
              <w:top w:val="single" w:sz="8" w:space="0" w:color="auto"/>
              <w:left w:val="nil"/>
              <w:bottom w:val="nil"/>
              <w:right w:val="single" w:sz="4" w:space="0" w:color="auto"/>
            </w:tcBorders>
            <w:shd w:val="clear" w:color="auto" w:fill="auto"/>
            <w:noWrap/>
            <w:vAlign w:val="bottom"/>
            <w:hideMark/>
          </w:tcPr>
          <w:p w:rsidR="00697214" w:rsidRPr="00AD0809" w:rsidRDefault="00697214" w:rsidP="009D7BB2">
            <w:pPr>
              <w:jc w:val="center"/>
              <w:rPr>
                <w:rFonts w:cs="Calibri"/>
                <w:color w:val="000000"/>
                <w:lang w:eastAsia="it-IT"/>
              </w:rPr>
            </w:pPr>
            <w:r w:rsidRPr="00AD0809">
              <w:rPr>
                <w:rFonts w:cs="Calibri"/>
                <w:color w:val="000000"/>
                <w:lang w:eastAsia="it-IT"/>
              </w:rPr>
              <w:t>3</w:t>
            </w:r>
          </w:p>
        </w:tc>
        <w:tc>
          <w:tcPr>
            <w:tcW w:w="1033" w:type="dxa"/>
            <w:tcBorders>
              <w:top w:val="single" w:sz="8" w:space="0" w:color="auto"/>
              <w:left w:val="nil"/>
              <w:bottom w:val="nil"/>
              <w:right w:val="single" w:sz="4" w:space="0" w:color="auto"/>
            </w:tcBorders>
            <w:shd w:val="clear" w:color="auto" w:fill="auto"/>
            <w:noWrap/>
            <w:vAlign w:val="bottom"/>
            <w:hideMark/>
          </w:tcPr>
          <w:p w:rsidR="00697214" w:rsidRPr="00AD0809" w:rsidRDefault="00697214" w:rsidP="009D7BB2">
            <w:pPr>
              <w:jc w:val="center"/>
              <w:rPr>
                <w:rFonts w:cs="Calibri"/>
                <w:color w:val="000000"/>
                <w:lang w:eastAsia="it-IT"/>
              </w:rPr>
            </w:pPr>
            <w:r w:rsidRPr="00AD0809">
              <w:rPr>
                <w:rFonts w:cs="Calibri"/>
                <w:color w:val="000000"/>
                <w:lang w:eastAsia="it-IT"/>
              </w:rPr>
              <w:t>259</w:t>
            </w:r>
          </w:p>
        </w:tc>
        <w:tc>
          <w:tcPr>
            <w:tcW w:w="1734" w:type="dxa"/>
            <w:tcBorders>
              <w:top w:val="single" w:sz="8" w:space="0" w:color="auto"/>
              <w:left w:val="nil"/>
              <w:bottom w:val="nil"/>
              <w:right w:val="single" w:sz="8" w:space="0" w:color="auto"/>
            </w:tcBorders>
            <w:shd w:val="clear" w:color="auto" w:fill="auto"/>
            <w:noWrap/>
            <w:vAlign w:val="bottom"/>
            <w:hideMark/>
          </w:tcPr>
          <w:p w:rsidR="00697214" w:rsidRPr="00AD0809" w:rsidRDefault="00697214" w:rsidP="009D7BB2">
            <w:pPr>
              <w:jc w:val="center"/>
              <w:rPr>
                <w:rFonts w:cs="Calibri"/>
                <w:color w:val="000000"/>
                <w:lang w:eastAsia="it-IT"/>
              </w:rPr>
            </w:pPr>
            <w:r w:rsidRPr="00AD0809">
              <w:rPr>
                <w:rFonts w:cs="Calibri"/>
                <w:color w:val="000000"/>
                <w:lang w:eastAsia="it-IT"/>
              </w:rPr>
              <w:t>38</w:t>
            </w:r>
          </w:p>
        </w:tc>
      </w:tr>
      <w:tr w:rsidR="00697214" w:rsidRPr="00AD0809" w:rsidTr="00D8521A">
        <w:trPr>
          <w:trHeight w:val="68"/>
        </w:trPr>
        <w:tc>
          <w:tcPr>
            <w:tcW w:w="1096" w:type="dxa"/>
            <w:tcBorders>
              <w:top w:val="nil"/>
              <w:left w:val="single" w:sz="8" w:space="0" w:color="auto"/>
              <w:bottom w:val="single" w:sz="8" w:space="0" w:color="auto"/>
              <w:right w:val="single" w:sz="4" w:space="0" w:color="auto"/>
            </w:tcBorders>
            <w:shd w:val="clear" w:color="auto" w:fill="auto"/>
            <w:noWrap/>
            <w:vAlign w:val="bottom"/>
            <w:hideMark/>
          </w:tcPr>
          <w:p w:rsidR="00697214" w:rsidRPr="00AD0809" w:rsidRDefault="00697214" w:rsidP="009D7BB2">
            <w:pPr>
              <w:rPr>
                <w:rFonts w:cs="Calibri"/>
                <w:color w:val="000000"/>
                <w:lang w:eastAsia="it-IT"/>
              </w:rPr>
            </w:pPr>
            <w:r w:rsidRPr="00AD0809">
              <w:rPr>
                <w:rFonts w:cs="Calibri"/>
                <w:color w:val="000000"/>
                <w:lang w:eastAsia="it-IT"/>
              </w:rPr>
              <w:t> </w:t>
            </w:r>
          </w:p>
        </w:tc>
        <w:tc>
          <w:tcPr>
            <w:tcW w:w="1424" w:type="dxa"/>
            <w:tcBorders>
              <w:top w:val="nil"/>
              <w:left w:val="nil"/>
              <w:bottom w:val="single" w:sz="8" w:space="0" w:color="auto"/>
              <w:right w:val="single" w:sz="4" w:space="0" w:color="auto"/>
            </w:tcBorders>
            <w:shd w:val="clear" w:color="auto" w:fill="auto"/>
            <w:noWrap/>
            <w:vAlign w:val="bottom"/>
            <w:hideMark/>
          </w:tcPr>
          <w:p w:rsidR="00697214" w:rsidRPr="00AD0809" w:rsidRDefault="00697214" w:rsidP="009D7BB2">
            <w:pPr>
              <w:rPr>
                <w:rFonts w:cs="Calibri"/>
                <w:b/>
                <w:bCs/>
                <w:i/>
                <w:iCs/>
                <w:color w:val="000000"/>
                <w:lang w:eastAsia="it-IT"/>
              </w:rPr>
            </w:pPr>
            <w:r w:rsidRPr="00AD0809">
              <w:rPr>
                <w:rFonts w:cs="Calibri"/>
                <w:b/>
                <w:bCs/>
                <w:i/>
                <w:iCs/>
                <w:color w:val="000000"/>
                <w:lang w:eastAsia="it-IT"/>
              </w:rPr>
              <w:t> </w:t>
            </w:r>
          </w:p>
        </w:tc>
        <w:tc>
          <w:tcPr>
            <w:tcW w:w="1305" w:type="dxa"/>
            <w:tcBorders>
              <w:top w:val="nil"/>
              <w:left w:val="nil"/>
              <w:bottom w:val="single" w:sz="8" w:space="0" w:color="auto"/>
              <w:right w:val="nil"/>
            </w:tcBorders>
            <w:shd w:val="clear" w:color="auto" w:fill="auto"/>
            <w:noWrap/>
            <w:vAlign w:val="bottom"/>
            <w:hideMark/>
          </w:tcPr>
          <w:p w:rsidR="00697214" w:rsidRPr="00AD0809" w:rsidRDefault="00697214" w:rsidP="009D7BB2">
            <w:pPr>
              <w:jc w:val="center"/>
              <w:rPr>
                <w:rFonts w:cs="Calibri"/>
                <w:i/>
                <w:iCs/>
                <w:color w:val="000000"/>
                <w:sz w:val="18"/>
                <w:szCs w:val="18"/>
                <w:lang w:eastAsia="it-IT"/>
              </w:rPr>
            </w:pPr>
            <w:r w:rsidRPr="00AD0809">
              <w:rPr>
                <w:rFonts w:cs="Calibri"/>
                <w:i/>
                <w:iCs/>
                <w:color w:val="000000"/>
                <w:sz w:val="18"/>
                <w:szCs w:val="18"/>
                <w:lang w:eastAsia="it-IT"/>
              </w:rPr>
              <w:t> </w:t>
            </w:r>
          </w:p>
        </w:tc>
        <w:tc>
          <w:tcPr>
            <w:tcW w:w="1476" w:type="dxa"/>
            <w:tcBorders>
              <w:top w:val="nil"/>
              <w:left w:val="single" w:sz="4" w:space="0" w:color="auto"/>
              <w:bottom w:val="single" w:sz="8" w:space="0" w:color="auto"/>
              <w:right w:val="single" w:sz="4" w:space="0" w:color="auto"/>
            </w:tcBorders>
            <w:shd w:val="clear" w:color="auto" w:fill="auto"/>
            <w:noWrap/>
            <w:vAlign w:val="bottom"/>
            <w:hideMark/>
          </w:tcPr>
          <w:p w:rsidR="00697214" w:rsidRPr="00AD0809" w:rsidRDefault="00697214" w:rsidP="009D7BB2">
            <w:pPr>
              <w:jc w:val="center"/>
              <w:rPr>
                <w:rFonts w:cs="Calibri"/>
                <w:i/>
                <w:iCs/>
                <w:color w:val="000000"/>
                <w:sz w:val="18"/>
                <w:szCs w:val="18"/>
                <w:lang w:eastAsia="it-IT"/>
              </w:rPr>
            </w:pPr>
            <w:r w:rsidRPr="00AD0809">
              <w:rPr>
                <w:rFonts w:cs="Calibri"/>
                <w:i/>
                <w:iCs/>
                <w:color w:val="000000"/>
                <w:sz w:val="18"/>
                <w:szCs w:val="18"/>
                <w:lang w:eastAsia="it-IT"/>
              </w:rPr>
              <w:t> </w:t>
            </w:r>
          </w:p>
        </w:tc>
        <w:tc>
          <w:tcPr>
            <w:tcW w:w="1212" w:type="dxa"/>
            <w:tcBorders>
              <w:top w:val="nil"/>
              <w:left w:val="nil"/>
              <w:bottom w:val="single" w:sz="8" w:space="0" w:color="auto"/>
              <w:right w:val="single" w:sz="4" w:space="0" w:color="auto"/>
            </w:tcBorders>
            <w:shd w:val="clear" w:color="auto" w:fill="auto"/>
            <w:noWrap/>
            <w:vAlign w:val="bottom"/>
            <w:hideMark/>
          </w:tcPr>
          <w:p w:rsidR="00697214" w:rsidRPr="00AD0809" w:rsidRDefault="00697214" w:rsidP="009D7BB2">
            <w:pPr>
              <w:jc w:val="center"/>
              <w:rPr>
                <w:rFonts w:cs="Calibri"/>
                <w:color w:val="000000"/>
                <w:lang w:eastAsia="it-IT"/>
              </w:rPr>
            </w:pPr>
            <w:r w:rsidRPr="00AD0809">
              <w:rPr>
                <w:rFonts w:cs="Calibri"/>
                <w:color w:val="000000"/>
                <w:lang w:eastAsia="it-IT"/>
              </w:rPr>
              <w:t> </w:t>
            </w:r>
          </w:p>
        </w:tc>
        <w:tc>
          <w:tcPr>
            <w:tcW w:w="1033" w:type="dxa"/>
            <w:tcBorders>
              <w:top w:val="nil"/>
              <w:left w:val="nil"/>
              <w:bottom w:val="single" w:sz="8" w:space="0" w:color="auto"/>
              <w:right w:val="single" w:sz="4" w:space="0" w:color="auto"/>
            </w:tcBorders>
            <w:shd w:val="clear" w:color="auto" w:fill="auto"/>
            <w:noWrap/>
            <w:vAlign w:val="bottom"/>
            <w:hideMark/>
          </w:tcPr>
          <w:p w:rsidR="00697214" w:rsidRPr="00AD0809" w:rsidRDefault="00697214" w:rsidP="009D7BB2">
            <w:pPr>
              <w:jc w:val="center"/>
              <w:rPr>
                <w:rFonts w:cs="Calibri"/>
                <w:color w:val="000000"/>
                <w:lang w:eastAsia="it-IT"/>
              </w:rPr>
            </w:pPr>
            <w:r w:rsidRPr="00AD0809">
              <w:rPr>
                <w:rFonts w:cs="Calibri"/>
                <w:color w:val="000000"/>
                <w:lang w:eastAsia="it-IT"/>
              </w:rPr>
              <w:t> </w:t>
            </w:r>
          </w:p>
        </w:tc>
        <w:tc>
          <w:tcPr>
            <w:tcW w:w="1734" w:type="dxa"/>
            <w:tcBorders>
              <w:top w:val="nil"/>
              <w:left w:val="nil"/>
              <w:bottom w:val="single" w:sz="8" w:space="0" w:color="auto"/>
              <w:right w:val="single" w:sz="8" w:space="0" w:color="auto"/>
            </w:tcBorders>
            <w:shd w:val="clear" w:color="auto" w:fill="auto"/>
            <w:noWrap/>
            <w:vAlign w:val="bottom"/>
            <w:hideMark/>
          </w:tcPr>
          <w:p w:rsidR="00697214" w:rsidRPr="00AD0809" w:rsidRDefault="00697214" w:rsidP="009D7BB2">
            <w:pPr>
              <w:jc w:val="center"/>
              <w:rPr>
                <w:rFonts w:cs="Calibri"/>
                <w:color w:val="000000"/>
                <w:lang w:eastAsia="it-IT"/>
              </w:rPr>
            </w:pPr>
            <w:r w:rsidRPr="00AD0809">
              <w:rPr>
                <w:rFonts w:cs="Calibri"/>
                <w:color w:val="000000"/>
                <w:lang w:eastAsia="it-IT"/>
              </w:rPr>
              <w:t> </w:t>
            </w:r>
          </w:p>
        </w:tc>
      </w:tr>
      <w:tr w:rsidR="00697214" w:rsidRPr="00AD0809" w:rsidTr="00D8521A">
        <w:trPr>
          <w:trHeight w:val="188"/>
        </w:trPr>
        <w:tc>
          <w:tcPr>
            <w:tcW w:w="1096" w:type="dxa"/>
            <w:tcBorders>
              <w:top w:val="nil"/>
              <w:left w:val="single" w:sz="8" w:space="0" w:color="auto"/>
              <w:bottom w:val="nil"/>
              <w:right w:val="single" w:sz="4" w:space="0" w:color="auto"/>
            </w:tcBorders>
            <w:shd w:val="clear" w:color="auto" w:fill="auto"/>
            <w:noWrap/>
            <w:vAlign w:val="bottom"/>
            <w:hideMark/>
          </w:tcPr>
          <w:p w:rsidR="00697214" w:rsidRPr="00AD0809" w:rsidRDefault="00697214" w:rsidP="009D7BB2">
            <w:pPr>
              <w:rPr>
                <w:rFonts w:cs="Calibri"/>
                <w:color w:val="000000"/>
                <w:lang w:eastAsia="it-IT"/>
              </w:rPr>
            </w:pPr>
            <w:r w:rsidRPr="00AD0809">
              <w:rPr>
                <w:rFonts w:cs="Calibri"/>
                <w:color w:val="000000"/>
                <w:lang w:eastAsia="it-IT"/>
              </w:rPr>
              <w:t>ANNO 2021</w:t>
            </w:r>
          </w:p>
        </w:tc>
        <w:tc>
          <w:tcPr>
            <w:tcW w:w="1424" w:type="dxa"/>
            <w:tcBorders>
              <w:top w:val="nil"/>
              <w:left w:val="nil"/>
              <w:bottom w:val="nil"/>
              <w:right w:val="single" w:sz="4" w:space="0" w:color="auto"/>
            </w:tcBorders>
            <w:shd w:val="clear" w:color="auto" w:fill="auto"/>
            <w:noWrap/>
            <w:vAlign w:val="bottom"/>
            <w:hideMark/>
          </w:tcPr>
          <w:p w:rsidR="00697214" w:rsidRPr="00AD0809" w:rsidRDefault="00697214" w:rsidP="009D7BB2">
            <w:pPr>
              <w:jc w:val="center"/>
              <w:rPr>
                <w:rFonts w:cs="Calibri"/>
                <w:b/>
                <w:bCs/>
                <w:color w:val="000000"/>
                <w:lang w:eastAsia="it-IT"/>
              </w:rPr>
            </w:pPr>
            <w:r w:rsidRPr="00AD0809">
              <w:rPr>
                <w:rFonts w:cs="Calibri"/>
                <w:b/>
                <w:bCs/>
                <w:color w:val="000000"/>
                <w:lang w:eastAsia="it-IT"/>
              </w:rPr>
              <w:t>290</w:t>
            </w:r>
          </w:p>
        </w:tc>
        <w:tc>
          <w:tcPr>
            <w:tcW w:w="1305" w:type="dxa"/>
            <w:tcBorders>
              <w:top w:val="nil"/>
              <w:left w:val="nil"/>
              <w:bottom w:val="nil"/>
              <w:right w:val="nil"/>
            </w:tcBorders>
            <w:shd w:val="clear" w:color="auto" w:fill="auto"/>
            <w:noWrap/>
            <w:vAlign w:val="bottom"/>
            <w:hideMark/>
          </w:tcPr>
          <w:p w:rsidR="00697214" w:rsidRPr="00AD0809" w:rsidRDefault="00697214" w:rsidP="009D7BB2">
            <w:pPr>
              <w:jc w:val="center"/>
              <w:rPr>
                <w:rFonts w:cs="Calibri"/>
                <w:i/>
                <w:iCs/>
                <w:color w:val="000000"/>
                <w:sz w:val="18"/>
                <w:szCs w:val="18"/>
                <w:lang w:eastAsia="it-IT"/>
              </w:rPr>
            </w:pPr>
            <w:r w:rsidRPr="00AD0809">
              <w:rPr>
                <w:rFonts w:cs="Calibri"/>
                <w:i/>
                <w:iCs/>
                <w:color w:val="000000"/>
                <w:sz w:val="18"/>
                <w:szCs w:val="18"/>
                <w:lang w:eastAsia="it-IT"/>
              </w:rPr>
              <w:t>n. dipendenti</w:t>
            </w:r>
          </w:p>
        </w:tc>
        <w:tc>
          <w:tcPr>
            <w:tcW w:w="1476" w:type="dxa"/>
            <w:tcBorders>
              <w:top w:val="nil"/>
              <w:left w:val="single" w:sz="4" w:space="0" w:color="auto"/>
              <w:bottom w:val="nil"/>
              <w:right w:val="single" w:sz="4" w:space="0" w:color="auto"/>
            </w:tcBorders>
            <w:shd w:val="clear" w:color="auto" w:fill="auto"/>
            <w:noWrap/>
            <w:vAlign w:val="bottom"/>
            <w:hideMark/>
          </w:tcPr>
          <w:p w:rsidR="00697214" w:rsidRPr="00AD0809" w:rsidRDefault="00697214" w:rsidP="009D7BB2">
            <w:pPr>
              <w:jc w:val="center"/>
              <w:rPr>
                <w:rFonts w:cs="Calibri"/>
                <w:i/>
                <w:iCs/>
                <w:color w:val="000000"/>
                <w:sz w:val="18"/>
                <w:szCs w:val="18"/>
                <w:lang w:eastAsia="it-IT"/>
              </w:rPr>
            </w:pPr>
            <w:r w:rsidRPr="00AD0809">
              <w:rPr>
                <w:rFonts w:cs="Calibri"/>
                <w:i/>
                <w:iCs/>
                <w:color w:val="000000"/>
                <w:sz w:val="18"/>
                <w:szCs w:val="18"/>
                <w:lang w:eastAsia="it-IT"/>
              </w:rPr>
              <w:t>1</w:t>
            </w:r>
          </w:p>
        </w:tc>
        <w:tc>
          <w:tcPr>
            <w:tcW w:w="1212" w:type="dxa"/>
            <w:tcBorders>
              <w:top w:val="nil"/>
              <w:left w:val="nil"/>
              <w:bottom w:val="nil"/>
              <w:right w:val="single" w:sz="4" w:space="0" w:color="auto"/>
            </w:tcBorders>
            <w:shd w:val="clear" w:color="auto" w:fill="auto"/>
            <w:noWrap/>
            <w:vAlign w:val="bottom"/>
            <w:hideMark/>
          </w:tcPr>
          <w:p w:rsidR="00697214" w:rsidRPr="00AD0809" w:rsidRDefault="00697214" w:rsidP="009D7BB2">
            <w:pPr>
              <w:jc w:val="center"/>
              <w:rPr>
                <w:rFonts w:cs="Calibri"/>
                <w:color w:val="000000"/>
                <w:lang w:eastAsia="it-IT"/>
              </w:rPr>
            </w:pPr>
            <w:r w:rsidRPr="00AD0809">
              <w:rPr>
                <w:rFonts w:cs="Calibri"/>
                <w:color w:val="000000"/>
                <w:lang w:eastAsia="it-IT"/>
              </w:rPr>
              <w:t>4</w:t>
            </w:r>
          </w:p>
        </w:tc>
        <w:tc>
          <w:tcPr>
            <w:tcW w:w="1033" w:type="dxa"/>
            <w:tcBorders>
              <w:top w:val="nil"/>
              <w:left w:val="nil"/>
              <w:bottom w:val="nil"/>
              <w:right w:val="single" w:sz="4" w:space="0" w:color="auto"/>
            </w:tcBorders>
            <w:shd w:val="clear" w:color="auto" w:fill="auto"/>
            <w:noWrap/>
            <w:vAlign w:val="bottom"/>
            <w:hideMark/>
          </w:tcPr>
          <w:p w:rsidR="00697214" w:rsidRPr="00AD0809" w:rsidRDefault="00697214" w:rsidP="009D7BB2">
            <w:pPr>
              <w:jc w:val="center"/>
              <w:rPr>
                <w:rFonts w:cs="Calibri"/>
                <w:color w:val="000000"/>
                <w:lang w:eastAsia="it-IT"/>
              </w:rPr>
            </w:pPr>
            <w:r w:rsidRPr="00AD0809">
              <w:rPr>
                <w:rFonts w:cs="Calibri"/>
                <w:color w:val="000000"/>
                <w:lang w:eastAsia="it-IT"/>
              </w:rPr>
              <w:t>241</w:t>
            </w:r>
          </w:p>
        </w:tc>
        <w:tc>
          <w:tcPr>
            <w:tcW w:w="1734" w:type="dxa"/>
            <w:tcBorders>
              <w:top w:val="nil"/>
              <w:left w:val="nil"/>
              <w:bottom w:val="nil"/>
              <w:right w:val="single" w:sz="8" w:space="0" w:color="auto"/>
            </w:tcBorders>
            <w:shd w:val="clear" w:color="auto" w:fill="auto"/>
            <w:noWrap/>
            <w:vAlign w:val="bottom"/>
            <w:hideMark/>
          </w:tcPr>
          <w:p w:rsidR="00697214" w:rsidRPr="00AD0809" w:rsidRDefault="00697214" w:rsidP="009D7BB2">
            <w:pPr>
              <w:jc w:val="center"/>
              <w:rPr>
                <w:rFonts w:cs="Calibri"/>
                <w:color w:val="000000"/>
                <w:lang w:eastAsia="it-IT"/>
              </w:rPr>
            </w:pPr>
            <w:r w:rsidRPr="00AD0809">
              <w:rPr>
                <w:rFonts w:cs="Calibri"/>
                <w:color w:val="000000"/>
                <w:lang w:eastAsia="it-IT"/>
              </w:rPr>
              <w:t>42</w:t>
            </w:r>
          </w:p>
        </w:tc>
      </w:tr>
      <w:tr w:rsidR="00697214" w:rsidRPr="00AD0809" w:rsidTr="00D8521A">
        <w:trPr>
          <w:trHeight w:val="197"/>
        </w:trPr>
        <w:tc>
          <w:tcPr>
            <w:tcW w:w="1096" w:type="dxa"/>
            <w:tcBorders>
              <w:top w:val="nil"/>
              <w:left w:val="single" w:sz="8" w:space="0" w:color="auto"/>
              <w:bottom w:val="single" w:sz="8" w:space="0" w:color="auto"/>
              <w:right w:val="single" w:sz="4" w:space="0" w:color="auto"/>
            </w:tcBorders>
            <w:shd w:val="clear" w:color="auto" w:fill="auto"/>
            <w:noWrap/>
            <w:vAlign w:val="bottom"/>
            <w:hideMark/>
          </w:tcPr>
          <w:p w:rsidR="00697214" w:rsidRPr="00AD0809" w:rsidRDefault="00697214" w:rsidP="009D7BB2">
            <w:pPr>
              <w:rPr>
                <w:rFonts w:cs="Calibri"/>
                <w:color w:val="000000"/>
                <w:lang w:eastAsia="it-IT"/>
              </w:rPr>
            </w:pPr>
            <w:r w:rsidRPr="00AD0809">
              <w:rPr>
                <w:rFonts w:cs="Calibri"/>
                <w:color w:val="000000"/>
                <w:lang w:eastAsia="it-IT"/>
              </w:rPr>
              <w:t> </w:t>
            </w:r>
          </w:p>
        </w:tc>
        <w:tc>
          <w:tcPr>
            <w:tcW w:w="1424" w:type="dxa"/>
            <w:tcBorders>
              <w:top w:val="nil"/>
              <w:left w:val="nil"/>
              <w:bottom w:val="single" w:sz="8" w:space="0" w:color="auto"/>
              <w:right w:val="single" w:sz="4" w:space="0" w:color="auto"/>
            </w:tcBorders>
            <w:shd w:val="clear" w:color="auto" w:fill="auto"/>
            <w:noWrap/>
            <w:vAlign w:val="bottom"/>
            <w:hideMark/>
          </w:tcPr>
          <w:p w:rsidR="00697214" w:rsidRPr="00AD0809" w:rsidRDefault="00697214" w:rsidP="009D7BB2">
            <w:pPr>
              <w:rPr>
                <w:rFonts w:cs="Calibri"/>
                <w:color w:val="000000"/>
                <w:lang w:eastAsia="it-IT"/>
              </w:rPr>
            </w:pPr>
            <w:r w:rsidRPr="00AD0809">
              <w:rPr>
                <w:rFonts w:cs="Calibri"/>
                <w:color w:val="000000"/>
                <w:lang w:eastAsia="it-IT"/>
              </w:rPr>
              <w:t> </w:t>
            </w:r>
          </w:p>
        </w:tc>
        <w:tc>
          <w:tcPr>
            <w:tcW w:w="1305" w:type="dxa"/>
            <w:tcBorders>
              <w:top w:val="nil"/>
              <w:left w:val="nil"/>
              <w:bottom w:val="single" w:sz="8" w:space="0" w:color="auto"/>
              <w:right w:val="nil"/>
            </w:tcBorders>
            <w:shd w:val="clear" w:color="auto" w:fill="auto"/>
            <w:noWrap/>
            <w:vAlign w:val="bottom"/>
            <w:hideMark/>
          </w:tcPr>
          <w:p w:rsidR="00697214" w:rsidRPr="00AD0809" w:rsidRDefault="00697214" w:rsidP="009D7BB2">
            <w:pPr>
              <w:rPr>
                <w:rFonts w:cs="Calibri"/>
                <w:color w:val="000000"/>
                <w:lang w:eastAsia="it-IT"/>
              </w:rPr>
            </w:pPr>
            <w:r w:rsidRPr="00AD0809">
              <w:rPr>
                <w:rFonts w:cs="Calibri"/>
                <w:color w:val="000000"/>
                <w:lang w:eastAsia="it-IT"/>
              </w:rPr>
              <w:t> </w:t>
            </w:r>
          </w:p>
        </w:tc>
        <w:tc>
          <w:tcPr>
            <w:tcW w:w="1476" w:type="dxa"/>
            <w:tcBorders>
              <w:top w:val="nil"/>
              <w:left w:val="single" w:sz="4" w:space="0" w:color="auto"/>
              <w:bottom w:val="single" w:sz="8" w:space="0" w:color="auto"/>
              <w:right w:val="single" w:sz="4" w:space="0" w:color="auto"/>
            </w:tcBorders>
            <w:shd w:val="clear" w:color="auto" w:fill="auto"/>
            <w:noWrap/>
            <w:vAlign w:val="bottom"/>
            <w:hideMark/>
          </w:tcPr>
          <w:p w:rsidR="00697214" w:rsidRPr="00AD0809" w:rsidRDefault="00697214" w:rsidP="009D7BB2">
            <w:pPr>
              <w:rPr>
                <w:rFonts w:cs="Calibri"/>
                <w:color w:val="000000"/>
                <w:lang w:eastAsia="it-IT"/>
              </w:rPr>
            </w:pPr>
            <w:r w:rsidRPr="00AD0809">
              <w:rPr>
                <w:rFonts w:cs="Calibri"/>
                <w:color w:val="000000"/>
                <w:lang w:eastAsia="it-IT"/>
              </w:rPr>
              <w:t> </w:t>
            </w:r>
          </w:p>
        </w:tc>
        <w:tc>
          <w:tcPr>
            <w:tcW w:w="1212" w:type="dxa"/>
            <w:tcBorders>
              <w:top w:val="nil"/>
              <w:left w:val="nil"/>
              <w:bottom w:val="single" w:sz="8" w:space="0" w:color="auto"/>
              <w:right w:val="single" w:sz="4" w:space="0" w:color="auto"/>
            </w:tcBorders>
            <w:shd w:val="clear" w:color="auto" w:fill="auto"/>
            <w:noWrap/>
            <w:vAlign w:val="bottom"/>
            <w:hideMark/>
          </w:tcPr>
          <w:p w:rsidR="00697214" w:rsidRPr="00AD0809" w:rsidRDefault="00697214" w:rsidP="009D7BB2">
            <w:pPr>
              <w:rPr>
                <w:rFonts w:cs="Calibri"/>
                <w:color w:val="000000"/>
                <w:lang w:eastAsia="it-IT"/>
              </w:rPr>
            </w:pPr>
            <w:r w:rsidRPr="00AD0809">
              <w:rPr>
                <w:rFonts w:cs="Calibri"/>
                <w:color w:val="000000"/>
                <w:lang w:eastAsia="it-IT"/>
              </w:rPr>
              <w:t> </w:t>
            </w:r>
          </w:p>
        </w:tc>
        <w:tc>
          <w:tcPr>
            <w:tcW w:w="1033" w:type="dxa"/>
            <w:tcBorders>
              <w:top w:val="nil"/>
              <w:left w:val="nil"/>
              <w:bottom w:val="single" w:sz="8" w:space="0" w:color="auto"/>
              <w:right w:val="single" w:sz="4" w:space="0" w:color="auto"/>
            </w:tcBorders>
            <w:shd w:val="clear" w:color="auto" w:fill="auto"/>
            <w:noWrap/>
            <w:vAlign w:val="bottom"/>
            <w:hideMark/>
          </w:tcPr>
          <w:p w:rsidR="00697214" w:rsidRPr="00AD0809" w:rsidRDefault="00697214" w:rsidP="009D7BB2">
            <w:pPr>
              <w:rPr>
                <w:rFonts w:cs="Calibri"/>
                <w:color w:val="000000"/>
                <w:lang w:eastAsia="it-IT"/>
              </w:rPr>
            </w:pPr>
            <w:r w:rsidRPr="00AD0809">
              <w:rPr>
                <w:rFonts w:cs="Calibri"/>
                <w:color w:val="000000"/>
                <w:lang w:eastAsia="it-IT"/>
              </w:rPr>
              <w:t> </w:t>
            </w:r>
          </w:p>
        </w:tc>
        <w:tc>
          <w:tcPr>
            <w:tcW w:w="1734" w:type="dxa"/>
            <w:tcBorders>
              <w:top w:val="nil"/>
              <w:left w:val="nil"/>
              <w:bottom w:val="single" w:sz="8" w:space="0" w:color="auto"/>
              <w:right w:val="single" w:sz="8" w:space="0" w:color="auto"/>
            </w:tcBorders>
            <w:shd w:val="clear" w:color="auto" w:fill="auto"/>
            <w:noWrap/>
            <w:vAlign w:val="bottom"/>
            <w:hideMark/>
          </w:tcPr>
          <w:p w:rsidR="00697214" w:rsidRPr="00AD0809" w:rsidRDefault="00697214" w:rsidP="009D7BB2">
            <w:pPr>
              <w:rPr>
                <w:rFonts w:cs="Calibri"/>
                <w:color w:val="000000"/>
                <w:lang w:eastAsia="it-IT"/>
              </w:rPr>
            </w:pPr>
            <w:r w:rsidRPr="00AD0809">
              <w:rPr>
                <w:rFonts w:cs="Calibri"/>
                <w:color w:val="000000"/>
                <w:lang w:eastAsia="it-IT"/>
              </w:rPr>
              <w:t> </w:t>
            </w:r>
          </w:p>
        </w:tc>
      </w:tr>
      <w:tr w:rsidR="00697214" w:rsidRPr="00AD0809" w:rsidTr="00D8521A">
        <w:trPr>
          <w:trHeight w:val="188"/>
        </w:trPr>
        <w:tc>
          <w:tcPr>
            <w:tcW w:w="1096" w:type="dxa"/>
            <w:tcBorders>
              <w:top w:val="nil"/>
              <w:left w:val="single" w:sz="8" w:space="0" w:color="auto"/>
              <w:bottom w:val="nil"/>
              <w:right w:val="nil"/>
            </w:tcBorders>
            <w:shd w:val="clear" w:color="auto" w:fill="auto"/>
            <w:noWrap/>
            <w:vAlign w:val="bottom"/>
            <w:hideMark/>
          </w:tcPr>
          <w:p w:rsidR="00697214" w:rsidRPr="00AD0809" w:rsidRDefault="00697214" w:rsidP="009D7BB2">
            <w:pPr>
              <w:rPr>
                <w:rFonts w:cs="Calibri"/>
                <w:color w:val="000000"/>
                <w:lang w:eastAsia="it-IT"/>
              </w:rPr>
            </w:pPr>
            <w:r w:rsidRPr="00AD0809">
              <w:rPr>
                <w:rFonts w:cs="Calibri"/>
                <w:color w:val="000000"/>
                <w:lang w:eastAsia="it-IT"/>
              </w:rPr>
              <w:t>ANNO 2022</w:t>
            </w:r>
          </w:p>
        </w:tc>
        <w:tc>
          <w:tcPr>
            <w:tcW w:w="1424" w:type="dxa"/>
            <w:tcBorders>
              <w:top w:val="nil"/>
              <w:left w:val="single" w:sz="4" w:space="0" w:color="auto"/>
              <w:bottom w:val="nil"/>
              <w:right w:val="single" w:sz="4" w:space="0" w:color="auto"/>
            </w:tcBorders>
            <w:shd w:val="clear" w:color="auto" w:fill="auto"/>
            <w:noWrap/>
            <w:vAlign w:val="bottom"/>
            <w:hideMark/>
          </w:tcPr>
          <w:p w:rsidR="00697214" w:rsidRPr="00AD0809" w:rsidRDefault="00697214" w:rsidP="009D7BB2">
            <w:pPr>
              <w:jc w:val="center"/>
              <w:rPr>
                <w:rFonts w:cs="Calibri"/>
                <w:b/>
                <w:bCs/>
                <w:color w:val="000000"/>
                <w:lang w:eastAsia="it-IT"/>
              </w:rPr>
            </w:pPr>
            <w:r w:rsidRPr="00AD0809">
              <w:rPr>
                <w:rFonts w:cs="Calibri"/>
                <w:b/>
                <w:bCs/>
                <w:color w:val="000000"/>
                <w:lang w:eastAsia="it-IT"/>
              </w:rPr>
              <w:t>284</w:t>
            </w:r>
          </w:p>
        </w:tc>
        <w:tc>
          <w:tcPr>
            <w:tcW w:w="1305" w:type="dxa"/>
            <w:tcBorders>
              <w:top w:val="nil"/>
              <w:left w:val="nil"/>
              <w:bottom w:val="nil"/>
              <w:right w:val="nil"/>
            </w:tcBorders>
            <w:shd w:val="clear" w:color="auto" w:fill="auto"/>
            <w:noWrap/>
            <w:vAlign w:val="bottom"/>
            <w:hideMark/>
          </w:tcPr>
          <w:p w:rsidR="00697214" w:rsidRPr="00AD0809" w:rsidRDefault="00697214" w:rsidP="009D7BB2">
            <w:pPr>
              <w:jc w:val="center"/>
              <w:rPr>
                <w:rFonts w:cs="Calibri"/>
                <w:i/>
                <w:iCs/>
                <w:color w:val="000000"/>
                <w:sz w:val="18"/>
                <w:szCs w:val="18"/>
                <w:lang w:eastAsia="it-IT"/>
              </w:rPr>
            </w:pPr>
            <w:r w:rsidRPr="00AD0809">
              <w:rPr>
                <w:rFonts w:cs="Calibri"/>
                <w:i/>
                <w:iCs/>
                <w:color w:val="000000"/>
                <w:sz w:val="18"/>
                <w:szCs w:val="18"/>
                <w:lang w:eastAsia="it-IT"/>
              </w:rPr>
              <w:t>n. dipendenti</w:t>
            </w:r>
          </w:p>
        </w:tc>
        <w:tc>
          <w:tcPr>
            <w:tcW w:w="1476" w:type="dxa"/>
            <w:tcBorders>
              <w:top w:val="nil"/>
              <w:left w:val="single" w:sz="4" w:space="0" w:color="auto"/>
              <w:bottom w:val="nil"/>
              <w:right w:val="single" w:sz="4" w:space="0" w:color="auto"/>
            </w:tcBorders>
            <w:shd w:val="clear" w:color="auto" w:fill="auto"/>
            <w:noWrap/>
            <w:vAlign w:val="bottom"/>
            <w:hideMark/>
          </w:tcPr>
          <w:p w:rsidR="00697214" w:rsidRPr="00AD0809" w:rsidRDefault="00697214" w:rsidP="009D7BB2">
            <w:pPr>
              <w:jc w:val="center"/>
              <w:rPr>
                <w:rFonts w:cs="Calibri"/>
                <w:color w:val="000000"/>
                <w:lang w:eastAsia="it-IT"/>
              </w:rPr>
            </w:pPr>
            <w:r w:rsidRPr="00AD0809">
              <w:rPr>
                <w:rFonts w:cs="Calibri"/>
                <w:color w:val="000000"/>
                <w:lang w:eastAsia="it-IT"/>
              </w:rPr>
              <w:t>2</w:t>
            </w:r>
          </w:p>
        </w:tc>
        <w:tc>
          <w:tcPr>
            <w:tcW w:w="1212" w:type="dxa"/>
            <w:tcBorders>
              <w:top w:val="nil"/>
              <w:left w:val="nil"/>
              <w:bottom w:val="nil"/>
              <w:right w:val="nil"/>
            </w:tcBorders>
            <w:shd w:val="clear" w:color="auto" w:fill="auto"/>
            <w:noWrap/>
            <w:vAlign w:val="bottom"/>
            <w:hideMark/>
          </w:tcPr>
          <w:p w:rsidR="00697214" w:rsidRPr="00AD0809" w:rsidRDefault="00697214" w:rsidP="009D7BB2">
            <w:pPr>
              <w:jc w:val="center"/>
              <w:rPr>
                <w:rFonts w:cs="Calibri"/>
                <w:color w:val="000000"/>
                <w:lang w:eastAsia="it-IT"/>
              </w:rPr>
            </w:pPr>
            <w:r w:rsidRPr="00AD0809">
              <w:rPr>
                <w:rFonts w:cs="Calibri"/>
                <w:color w:val="000000"/>
                <w:lang w:eastAsia="it-IT"/>
              </w:rPr>
              <w:t>6</w:t>
            </w:r>
          </w:p>
        </w:tc>
        <w:tc>
          <w:tcPr>
            <w:tcW w:w="1033" w:type="dxa"/>
            <w:tcBorders>
              <w:top w:val="nil"/>
              <w:left w:val="single" w:sz="4" w:space="0" w:color="auto"/>
              <w:bottom w:val="nil"/>
              <w:right w:val="single" w:sz="4" w:space="0" w:color="auto"/>
            </w:tcBorders>
            <w:shd w:val="clear" w:color="auto" w:fill="auto"/>
            <w:noWrap/>
            <w:vAlign w:val="bottom"/>
            <w:hideMark/>
          </w:tcPr>
          <w:p w:rsidR="00697214" w:rsidRPr="00AD0809" w:rsidRDefault="00697214" w:rsidP="009D7BB2">
            <w:pPr>
              <w:jc w:val="center"/>
              <w:rPr>
                <w:rFonts w:cs="Calibri"/>
                <w:color w:val="000000"/>
                <w:lang w:eastAsia="it-IT"/>
              </w:rPr>
            </w:pPr>
            <w:r w:rsidRPr="00AD0809">
              <w:rPr>
                <w:rFonts w:cs="Calibri"/>
                <w:color w:val="000000"/>
                <w:lang w:eastAsia="it-IT"/>
              </w:rPr>
              <w:t>229</w:t>
            </w:r>
          </w:p>
        </w:tc>
        <w:tc>
          <w:tcPr>
            <w:tcW w:w="1734" w:type="dxa"/>
            <w:tcBorders>
              <w:top w:val="nil"/>
              <w:left w:val="nil"/>
              <w:bottom w:val="nil"/>
              <w:right w:val="single" w:sz="8" w:space="0" w:color="auto"/>
            </w:tcBorders>
            <w:shd w:val="clear" w:color="auto" w:fill="auto"/>
            <w:noWrap/>
            <w:vAlign w:val="bottom"/>
            <w:hideMark/>
          </w:tcPr>
          <w:p w:rsidR="00697214" w:rsidRPr="00AD0809" w:rsidRDefault="00697214" w:rsidP="009D7BB2">
            <w:pPr>
              <w:jc w:val="center"/>
              <w:rPr>
                <w:rFonts w:cs="Calibri"/>
                <w:color w:val="000000"/>
                <w:lang w:eastAsia="it-IT"/>
              </w:rPr>
            </w:pPr>
            <w:r w:rsidRPr="00AD0809">
              <w:rPr>
                <w:rFonts w:cs="Calibri"/>
                <w:color w:val="000000"/>
                <w:lang w:eastAsia="it-IT"/>
              </w:rPr>
              <w:t>47</w:t>
            </w:r>
          </w:p>
        </w:tc>
      </w:tr>
      <w:tr w:rsidR="00697214" w:rsidRPr="00AD0809" w:rsidTr="00682F3D">
        <w:trPr>
          <w:trHeight w:val="120"/>
        </w:trPr>
        <w:tc>
          <w:tcPr>
            <w:tcW w:w="1096" w:type="dxa"/>
            <w:tcBorders>
              <w:top w:val="nil"/>
              <w:left w:val="single" w:sz="8" w:space="0" w:color="auto"/>
              <w:bottom w:val="single" w:sz="8" w:space="0" w:color="auto"/>
              <w:right w:val="nil"/>
            </w:tcBorders>
            <w:shd w:val="clear" w:color="auto" w:fill="auto"/>
            <w:noWrap/>
            <w:vAlign w:val="bottom"/>
            <w:hideMark/>
          </w:tcPr>
          <w:p w:rsidR="00697214" w:rsidRPr="00AD0809" w:rsidRDefault="00697214" w:rsidP="009D7BB2">
            <w:pPr>
              <w:rPr>
                <w:rFonts w:cs="Calibri"/>
                <w:color w:val="000000"/>
                <w:lang w:eastAsia="it-IT"/>
              </w:rPr>
            </w:pPr>
            <w:r w:rsidRPr="00AD0809">
              <w:rPr>
                <w:rFonts w:cs="Calibri"/>
                <w:color w:val="000000"/>
                <w:lang w:eastAsia="it-IT"/>
              </w:rPr>
              <w:t> </w:t>
            </w:r>
          </w:p>
        </w:tc>
        <w:tc>
          <w:tcPr>
            <w:tcW w:w="1424" w:type="dxa"/>
            <w:tcBorders>
              <w:top w:val="nil"/>
              <w:left w:val="single" w:sz="4" w:space="0" w:color="auto"/>
              <w:bottom w:val="single" w:sz="8" w:space="0" w:color="auto"/>
              <w:right w:val="single" w:sz="4" w:space="0" w:color="auto"/>
            </w:tcBorders>
            <w:shd w:val="clear" w:color="auto" w:fill="auto"/>
            <w:noWrap/>
            <w:vAlign w:val="bottom"/>
            <w:hideMark/>
          </w:tcPr>
          <w:p w:rsidR="00697214" w:rsidRPr="00AD0809" w:rsidRDefault="00697214" w:rsidP="009D7BB2">
            <w:pPr>
              <w:rPr>
                <w:rFonts w:cs="Calibri"/>
                <w:color w:val="000000"/>
                <w:lang w:eastAsia="it-IT"/>
              </w:rPr>
            </w:pPr>
            <w:r w:rsidRPr="00AD0809">
              <w:rPr>
                <w:rFonts w:cs="Calibri"/>
                <w:color w:val="000000"/>
                <w:lang w:eastAsia="it-IT"/>
              </w:rPr>
              <w:t> </w:t>
            </w:r>
          </w:p>
        </w:tc>
        <w:tc>
          <w:tcPr>
            <w:tcW w:w="1305" w:type="dxa"/>
            <w:tcBorders>
              <w:top w:val="nil"/>
              <w:left w:val="nil"/>
              <w:bottom w:val="single" w:sz="8" w:space="0" w:color="auto"/>
              <w:right w:val="nil"/>
            </w:tcBorders>
            <w:shd w:val="clear" w:color="auto" w:fill="auto"/>
            <w:noWrap/>
            <w:vAlign w:val="bottom"/>
            <w:hideMark/>
          </w:tcPr>
          <w:p w:rsidR="00697214" w:rsidRPr="00AD0809" w:rsidRDefault="00697214" w:rsidP="009D7BB2">
            <w:pPr>
              <w:rPr>
                <w:rFonts w:cs="Calibri"/>
                <w:color w:val="000000"/>
                <w:lang w:eastAsia="it-IT"/>
              </w:rPr>
            </w:pPr>
            <w:r w:rsidRPr="00AD0809">
              <w:rPr>
                <w:rFonts w:cs="Calibri"/>
                <w:color w:val="000000"/>
                <w:lang w:eastAsia="it-IT"/>
              </w:rPr>
              <w:t> </w:t>
            </w:r>
          </w:p>
        </w:tc>
        <w:tc>
          <w:tcPr>
            <w:tcW w:w="1476" w:type="dxa"/>
            <w:tcBorders>
              <w:top w:val="nil"/>
              <w:left w:val="single" w:sz="4" w:space="0" w:color="auto"/>
              <w:bottom w:val="single" w:sz="8" w:space="0" w:color="auto"/>
              <w:right w:val="single" w:sz="4" w:space="0" w:color="auto"/>
            </w:tcBorders>
            <w:shd w:val="clear" w:color="auto" w:fill="auto"/>
            <w:noWrap/>
            <w:vAlign w:val="bottom"/>
            <w:hideMark/>
          </w:tcPr>
          <w:p w:rsidR="00697214" w:rsidRPr="00AD0809" w:rsidRDefault="00697214" w:rsidP="009D7BB2">
            <w:pPr>
              <w:rPr>
                <w:rFonts w:cs="Calibri"/>
                <w:color w:val="000000"/>
                <w:lang w:eastAsia="it-IT"/>
              </w:rPr>
            </w:pPr>
            <w:r w:rsidRPr="00AD0809">
              <w:rPr>
                <w:rFonts w:cs="Calibri"/>
                <w:color w:val="000000"/>
                <w:lang w:eastAsia="it-IT"/>
              </w:rPr>
              <w:t> </w:t>
            </w:r>
          </w:p>
        </w:tc>
        <w:tc>
          <w:tcPr>
            <w:tcW w:w="1212" w:type="dxa"/>
            <w:tcBorders>
              <w:top w:val="nil"/>
              <w:left w:val="nil"/>
              <w:bottom w:val="single" w:sz="8" w:space="0" w:color="auto"/>
              <w:right w:val="nil"/>
            </w:tcBorders>
            <w:shd w:val="clear" w:color="auto" w:fill="auto"/>
            <w:noWrap/>
            <w:vAlign w:val="bottom"/>
            <w:hideMark/>
          </w:tcPr>
          <w:p w:rsidR="00697214" w:rsidRPr="00AD0809" w:rsidRDefault="00697214" w:rsidP="009D7BB2">
            <w:pPr>
              <w:rPr>
                <w:rFonts w:cs="Calibri"/>
                <w:color w:val="000000"/>
                <w:lang w:eastAsia="it-IT"/>
              </w:rPr>
            </w:pPr>
            <w:r w:rsidRPr="00AD0809">
              <w:rPr>
                <w:rFonts w:cs="Calibri"/>
                <w:color w:val="000000"/>
                <w:lang w:eastAsia="it-IT"/>
              </w:rPr>
              <w:t> </w:t>
            </w:r>
          </w:p>
        </w:tc>
        <w:tc>
          <w:tcPr>
            <w:tcW w:w="1033" w:type="dxa"/>
            <w:tcBorders>
              <w:top w:val="nil"/>
              <w:left w:val="single" w:sz="4" w:space="0" w:color="auto"/>
              <w:bottom w:val="single" w:sz="8" w:space="0" w:color="auto"/>
              <w:right w:val="single" w:sz="4" w:space="0" w:color="auto"/>
            </w:tcBorders>
            <w:shd w:val="clear" w:color="auto" w:fill="auto"/>
            <w:noWrap/>
            <w:vAlign w:val="bottom"/>
            <w:hideMark/>
          </w:tcPr>
          <w:p w:rsidR="00697214" w:rsidRPr="00AD0809" w:rsidRDefault="00697214" w:rsidP="009D7BB2">
            <w:pPr>
              <w:rPr>
                <w:rFonts w:cs="Calibri"/>
                <w:color w:val="000000"/>
                <w:lang w:eastAsia="it-IT"/>
              </w:rPr>
            </w:pPr>
            <w:r w:rsidRPr="00AD0809">
              <w:rPr>
                <w:rFonts w:cs="Calibri"/>
                <w:color w:val="000000"/>
                <w:lang w:eastAsia="it-IT"/>
              </w:rPr>
              <w:t> </w:t>
            </w:r>
          </w:p>
        </w:tc>
        <w:tc>
          <w:tcPr>
            <w:tcW w:w="1734" w:type="dxa"/>
            <w:tcBorders>
              <w:top w:val="nil"/>
              <w:left w:val="nil"/>
              <w:bottom w:val="single" w:sz="8" w:space="0" w:color="auto"/>
              <w:right w:val="single" w:sz="8" w:space="0" w:color="auto"/>
            </w:tcBorders>
            <w:shd w:val="clear" w:color="auto" w:fill="auto"/>
            <w:noWrap/>
            <w:vAlign w:val="bottom"/>
            <w:hideMark/>
          </w:tcPr>
          <w:p w:rsidR="00697214" w:rsidRPr="00AD0809" w:rsidRDefault="00697214" w:rsidP="009D7BB2">
            <w:pPr>
              <w:rPr>
                <w:rFonts w:cs="Calibri"/>
                <w:color w:val="000000"/>
                <w:lang w:eastAsia="it-IT"/>
              </w:rPr>
            </w:pPr>
            <w:r w:rsidRPr="00AD0809">
              <w:rPr>
                <w:rFonts w:cs="Calibri"/>
                <w:color w:val="000000"/>
                <w:lang w:eastAsia="it-IT"/>
              </w:rPr>
              <w:t> </w:t>
            </w:r>
          </w:p>
        </w:tc>
      </w:tr>
    </w:tbl>
    <w:p w:rsidR="00697214" w:rsidRDefault="00697214" w:rsidP="00210242">
      <w:pPr>
        <w:spacing w:line="360" w:lineRule="auto"/>
        <w:ind w:right="567"/>
        <w:jc w:val="both"/>
        <w:rPr>
          <w:b/>
          <w:i/>
        </w:rPr>
      </w:pPr>
    </w:p>
    <w:p w:rsidR="009F408B" w:rsidRDefault="009F408B" w:rsidP="009F408B">
      <w:pPr>
        <w:spacing w:line="360" w:lineRule="auto"/>
        <w:ind w:right="141"/>
        <w:jc w:val="both"/>
      </w:pPr>
      <w:r>
        <w:t xml:space="preserve">Per gli anni </w:t>
      </w:r>
      <w:r w:rsidR="00D6207C">
        <w:t xml:space="preserve">dal </w:t>
      </w:r>
      <w:r>
        <w:t>2020 al 2022, la fascia di valutazione che ha registrato la maggior concentrazione nella distribuzione dei dipendenti è la fascia di valutazione “conforme”.</w:t>
      </w:r>
    </w:p>
    <w:p w:rsidR="00FC0CEB" w:rsidRPr="00FC0CEB" w:rsidRDefault="00FC0CEB" w:rsidP="009F408B">
      <w:pPr>
        <w:spacing w:line="360" w:lineRule="auto"/>
        <w:ind w:right="141"/>
        <w:jc w:val="both"/>
        <w:rPr>
          <w:b/>
        </w:rPr>
      </w:pPr>
      <w:r w:rsidRPr="00FC0CEB">
        <w:rPr>
          <w:b/>
        </w:rPr>
        <w:t>Fig. 1)</w:t>
      </w:r>
    </w:p>
    <w:p w:rsidR="009F408B" w:rsidRDefault="00FC0CEB" w:rsidP="00210242">
      <w:pPr>
        <w:spacing w:line="360" w:lineRule="auto"/>
        <w:ind w:right="567"/>
        <w:jc w:val="both"/>
        <w:rPr>
          <w:b/>
          <w:i/>
        </w:rPr>
      </w:pPr>
      <w:r w:rsidRPr="00FC0CEB">
        <w:rPr>
          <w:b/>
          <w:i/>
          <w:noProof/>
          <w:lang w:eastAsia="it-IT"/>
        </w:rPr>
        <w:lastRenderedPageBreak/>
        <w:drawing>
          <wp:inline distT="0" distB="0" distL="0" distR="0">
            <wp:extent cx="5495925" cy="2743200"/>
            <wp:effectExtent l="19050" t="0" r="9525" b="0"/>
            <wp:docPr id="2" name="Gra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45BBE" w:rsidRDefault="00A45BBE" w:rsidP="00FC0CEB">
      <w:pPr>
        <w:spacing w:line="360" w:lineRule="auto"/>
        <w:ind w:right="141"/>
        <w:jc w:val="both"/>
      </w:pPr>
    </w:p>
    <w:p w:rsidR="00FC0CEB" w:rsidRDefault="00FC0CEB" w:rsidP="00FC0CEB">
      <w:pPr>
        <w:spacing w:line="360" w:lineRule="auto"/>
        <w:ind w:right="141"/>
        <w:jc w:val="both"/>
      </w:pPr>
      <w:r>
        <w:t>La tabella 1) e la figura 1, evidenziano in particolare:</w:t>
      </w:r>
    </w:p>
    <w:p w:rsidR="00FC0CEB" w:rsidRPr="0010626F" w:rsidRDefault="00FC0CEB" w:rsidP="00B67729">
      <w:pPr>
        <w:spacing w:after="0" w:line="360" w:lineRule="auto"/>
        <w:ind w:left="720" w:right="141"/>
        <w:jc w:val="both"/>
      </w:pPr>
      <w:r>
        <w:rPr>
          <w:b/>
        </w:rPr>
        <w:t>l’andamento decrescente del numero di unità di personale valutato</w:t>
      </w:r>
      <w:r>
        <w:t xml:space="preserve">. Ciò in coerenza con la sensibile diminuzione del personale in servizio e la conseguente riduzione della </w:t>
      </w:r>
      <w:r w:rsidRPr="0010626F">
        <w:t>spesa per il personale registrata dalla Città Metropolitana nel periodo di riferimento;</w:t>
      </w:r>
    </w:p>
    <w:p w:rsidR="00FC0CEB" w:rsidRDefault="00FC0CEB" w:rsidP="00210242">
      <w:pPr>
        <w:spacing w:line="360" w:lineRule="auto"/>
        <w:ind w:right="567"/>
        <w:jc w:val="both"/>
        <w:rPr>
          <w:b/>
          <w:i/>
        </w:rPr>
      </w:pPr>
    </w:p>
    <w:p w:rsidR="00566BC3" w:rsidRPr="00566BC3" w:rsidRDefault="00566BC3" w:rsidP="00210242">
      <w:pPr>
        <w:spacing w:line="360" w:lineRule="auto"/>
        <w:ind w:right="567"/>
        <w:jc w:val="both"/>
        <w:rPr>
          <w:i/>
        </w:rPr>
      </w:pPr>
      <w:r w:rsidRPr="008A1C3A">
        <w:rPr>
          <w:i/>
        </w:rPr>
        <w:t>La tabella</w:t>
      </w:r>
      <w:r>
        <w:rPr>
          <w:i/>
        </w:rPr>
        <w:t xml:space="preserve"> 2) e la figura 2, evidenziano in particolare la percentuale dei dipendenti con il massimo punteggio di valutazione.</w:t>
      </w:r>
    </w:p>
    <w:p w:rsidR="003D2DD3" w:rsidRDefault="003D2DD3" w:rsidP="003D2DD3">
      <w:pPr>
        <w:spacing w:line="360" w:lineRule="auto"/>
        <w:ind w:right="567"/>
        <w:jc w:val="both"/>
        <w:rPr>
          <w:b/>
          <w:i/>
        </w:rPr>
      </w:pPr>
      <w:r>
        <w:rPr>
          <w:b/>
          <w:i/>
        </w:rPr>
        <w:t>Tab. 2)</w:t>
      </w:r>
    </w:p>
    <w:tbl>
      <w:tblPr>
        <w:tblW w:w="4300" w:type="dxa"/>
        <w:tblInd w:w="65" w:type="dxa"/>
        <w:tblCellMar>
          <w:left w:w="70" w:type="dxa"/>
          <w:right w:w="70" w:type="dxa"/>
        </w:tblCellMar>
        <w:tblLook w:val="04A0"/>
      </w:tblPr>
      <w:tblGrid>
        <w:gridCol w:w="1423"/>
        <w:gridCol w:w="1557"/>
        <w:gridCol w:w="1320"/>
      </w:tblGrid>
      <w:tr w:rsidR="003D2DD3" w:rsidRPr="00DE5A0F" w:rsidTr="00563141">
        <w:trPr>
          <w:trHeight w:val="600"/>
        </w:trPr>
        <w:tc>
          <w:tcPr>
            <w:tcW w:w="1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DD3" w:rsidRPr="00DE5A0F" w:rsidRDefault="003D2DD3" w:rsidP="00563141">
            <w:pPr>
              <w:rPr>
                <w:rFonts w:cs="Calibri"/>
                <w:color w:val="000000"/>
                <w:lang w:eastAsia="it-IT"/>
              </w:rPr>
            </w:pPr>
            <w:r w:rsidRPr="00DE5A0F">
              <w:rPr>
                <w:rFonts w:cs="Calibri"/>
                <w:color w:val="000000"/>
                <w:lang w:eastAsia="it-IT"/>
              </w:rPr>
              <w:t> </w:t>
            </w:r>
          </w:p>
        </w:tc>
        <w:tc>
          <w:tcPr>
            <w:tcW w:w="1557" w:type="dxa"/>
            <w:tcBorders>
              <w:top w:val="single" w:sz="4" w:space="0" w:color="auto"/>
              <w:left w:val="nil"/>
              <w:bottom w:val="single" w:sz="4" w:space="0" w:color="auto"/>
              <w:right w:val="single" w:sz="4" w:space="0" w:color="auto"/>
            </w:tcBorders>
            <w:shd w:val="clear" w:color="auto" w:fill="auto"/>
            <w:vAlign w:val="center"/>
            <w:hideMark/>
          </w:tcPr>
          <w:p w:rsidR="003D2DD3" w:rsidRPr="00DE5A0F" w:rsidRDefault="003D2DD3" w:rsidP="00563141">
            <w:pPr>
              <w:jc w:val="center"/>
              <w:rPr>
                <w:rFonts w:cs="Calibri"/>
                <w:i/>
                <w:iCs/>
                <w:color w:val="000000"/>
                <w:lang w:eastAsia="it-IT"/>
              </w:rPr>
            </w:pPr>
            <w:r w:rsidRPr="00DE5A0F">
              <w:rPr>
                <w:rFonts w:cs="Calibri"/>
                <w:i/>
                <w:iCs/>
                <w:color w:val="000000"/>
                <w:lang w:eastAsia="it-IT"/>
              </w:rPr>
              <w:t>TOT. DIPENDENTI VALUTATI</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3D2DD3" w:rsidRPr="00DE5A0F" w:rsidRDefault="003D2DD3" w:rsidP="00563141">
            <w:pPr>
              <w:jc w:val="center"/>
              <w:rPr>
                <w:rFonts w:cs="Calibri"/>
                <w:i/>
                <w:iCs/>
                <w:color w:val="000000"/>
                <w:lang w:eastAsia="it-IT"/>
              </w:rPr>
            </w:pPr>
            <w:r w:rsidRPr="00DE5A0F">
              <w:rPr>
                <w:rFonts w:cs="Calibri"/>
                <w:i/>
                <w:iCs/>
                <w:color w:val="000000"/>
                <w:lang w:eastAsia="it-IT"/>
              </w:rPr>
              <w:t>PUNTEGGI MASSIMI</w:t>
            </w:r>
          </w:p>
        </w:tc>
      </w:tr>
      <w:tr w:rsidR="003D2DD3" w:rsidRPr="00DE5A0F" w:rsidTr="00563141">
        <w:trPr>
          <w:trHeight w:val="300"/>
        </w:trPr>
        <w:tc>
          <w:tcPr>
            <w:tcW w:w="1423" w:type="dxa"/>
            <w:tcBorders>
              <w:top w:val="nil"/>
              <w:left w:val="single" w:sz="4" w:space="0" w:color="auto"/>
              <w:bottom w:val="single" w:sz="4" w:space="0" w:color="auto"/>
              <w:right w:val="single" w:sz="4" w:space="0" w:color="auto"/>
            </w:tcBorders>
            <w:shd w:val="clear" w:color="auto" w:fill="auto"/>
            <w:noWrap/>
            <w:vAlign w:val="bottom"/>
            <w:hideMark/>
          </w:tcPr>
          <w:p w:rsidR="003D2DD3" w:rsidRPr="00DE5A0F" w:rsidRDefault="003D2DD3" w:rsidP="00563141">
            <w:pPr>
              <w:rPr>
                <w:rFonts w:cs="Calibri"/>
                <w:color w:val="000000"/>
                <w:lang w:eastAsia="it-IT"/>
              </w:rPr>
            </w:pPr>
            <w:r w:rsidRPr="00DE5A0F">
              <w:rPr>
                <w:rFonts w:cs="Calibri"/>
                <w:color w:val="000000"/>
                <w:lang w:eastAsia="it-IT"/>
              </w:rPr>
              <w:t>ANNO 2020</w:t>
            </w:r>
          </w:p>
        </w:tc>
        <w:tc>
          <w:tcPr>
            <w:tcW w:w="1557" w:type="dxa"/>
            <w:tcBorders>
              <w:top w:val="nil"/>
              <w:left w:val="nil"/>
              <w:bottom w:val="single" w:sz="4" w:space="0" w:color="auto"/>
              <w:right w:val="single" w:sz="4" w:space="0" w:color="auto"/>
            </w:tcBorders>
            <w:shd w:val="clear" w:color="auto" w:fill="auto"/>
            <w:noWrap/>
            <w:vAlign w:val="bottom"/>
            <w:hideMark/>
          </w:tcPr>
          <w:p w:rsidR="003D2DD3" w:rsidRPr="00DE5A0F" w:rsidRDefault="003D2DD3" w:rsidP="00563141">
            <w:pPr>
              <w:jc w:val="center"/>
              <w:rPr>
                <w:rFonts w:cs="Calibri"/>
                <w:i/>
                <w:iCs/>
                <w:color w:val="000000"/>
                <w:lang w:eastAsia="it-IT"/>
              </w:rPr>
            </w:pPr>
            <w:r w:rsidRPr="00DE5A0F">
              <w:rPr>
                <w:rFonts w:cs="Calibri"/>
                <w:i/>
                <w:iCs/>
                <w:color w:val="000000"/>
                <w:lang w:eastAsia="it-IT"/>
              </w:rPr>
              <w:t>300</w:t>
            </w:r>
          </w:p>
        </w:tc>
        <w:tc>
          <w:tcPr>
            <w:tcW w:w="1320" w:type="dxa"/>
            <w:tcBorders>
              <w:top w:val="nil"/>
              <w:left w:val="nil"/>
              <w:bottom w:val="single" w:sz="4" w:space="0" w:color="auto"/>
              <w:right w:val="single" w:sz="4" w:space="0" w:color="auto"/>
            </w:tcBorders>
            <w:shd w:val="clear" w:color="auto" w:fill="auto"/>
            <w:noWrap/>
            <w:vAlign w:val="bottom"/>
            <w:hideMark/>
          </w:tcPr>
          <w:p w:rsidR="003D2DD3" w:rsidRPr="00DE5A0F" w:rsidRDefault="003D2DD3" w:rsidP="00563141">
            <w:pPr>
              <w:jc w:val="center"/>
              <w:rPr>
                <w:rFonts w:cs="Calibri"/>
                <w:color w:val="000000"/>
                <w:lang w:eastAsia="it-IT"/>
              </w:rPr>
            </w:pPr>
            <w:r w:rsidRPr="00DE5A0F">
              <w:rPr>
                <w:rFonts w:cs="Calibri"/>
                <w:color w:val="000000"/>
                <w:lang w:eastAsia="it-IT"/>
              </w:rPr>
              <w:t>10,00%</w:t>
            </w:r>
          </w:p>
        </w:tc>
      </w:tr>
      <w:tr w:rsidR="003D2DD3" w:rsidRPr="00DE5A0F" w:rsidTr="00563141">
        <w:trPr>
          <w:trHeight w:val="300"/>
        </w:trPr>
        <w:tc>
          <w:tcPr>
            <w:tcW w:w="1423" w:type="dxa"/>
            <w:tcBorders>
              <w:top w:val="nil"/>
              <w:left w:val="single" w:sz="4" w:space="0" w:color="auto"/>
              <w:bottom w:val="single" w:sz="4" w:space="0" w:color="auto"/>
              <w:right w:val="single" w:sz="4" w:space="0" w:color="auto"/>
            </w:tcBorders>
            <w:shd w:val="clear" w:color="auto" w:fill="auto"/>
            <w:noWrap/>
            <w:vAlign w:val="bottom"/>
            <w:hideMark/>
          </w:tcPr>
          <w:p w:rsidR="003D2DD3" w:rsidRPr="00DE5A0F" w:rsidRDefault="003D2DD3" w:rsidP="00563141">
            <w:pPr>
              <w:rPr>
                <w:rFonts w:cs="Calibri"/>
                <w:color w:val="000000"/>
                <w:lang w:eastAsia="it-IT"/>
              </w:rPr>
            </w:pPr>
            <w:r w:rsidRPr="00DE5A0F">
              <w:rPr>
                <w:rFonts w:cs="Calibri"/>
                <w:color w:val="000000"/>
                <w:lang w:eastAsia="it-IT"/>
              </w:rPr>
              <w:t>ANNO 2021</w:t>
            </w:r>
          </w:p>
        </w:tc>
        <w:tc>
          <w:tcPr>
            <w:tcW w:w="1557" w:type="dxa"/>
            <w:tcBorders>
              <w:top w:val="nil"/>
              <w:left w:val="nil"/>
              <w:bottom w:val="single" w:sz="4" w:space="0" w:color="auto"/>
              <w:right w:val="single" w:sz="4" w:space="0" w:color="auto"/>
            </w:tcBorders>
            <w:shd w:val="clear" w:color="auto" w:fill="auto"/>
            <w:noWrap/>
            <w:vAlign w:val="bottom"/>
            <w:hideMark/>
          </w:tcPr>
          <w:p w:rsidR="003D2DD3" w:rsidRPr="00DE5A0F" w:rsidRDefault="003D2DD3" w:rsidP="00563141">
            <w:pPr>
              <w:jc w:val="center"/>
              <w:rPr>
                <w:rFonts w:cs="Calibri"/>
                <w:i/>
                <w:iCs/>
                <w:color w:val="000000"/>
                <w:lang w:eastAsia="it-IT"/>
              </w:rPr>
            </w:pPr>
            <w:r w:rsidRPr="00DE5A0F">
              <w:rPr>
                <w:rFonts w:cs="Calibri"/>
                <w:i/>
                <w:iCs/>
                <w:color w:val="000000"/>
                <w:lang w:eastAsia="it-IT"/>
              </w:rPr>
              <w:t>288</w:t>
            </w:r>
          </w:p>
        </w:tc>
        <w:tc>
          <w:tcPr>
            <w:tcW w:w="1320" w:type="dxa"/>
            <w:tcBorders>
              <w:top w:val="nil"/>
              <w:left w:val="nil"/>
              <w:bottom w:val="single" w:sz="4" w:space="0" w:color="auto"/>
              <w:right w:val="single" w:sz="4" w:space="0" w:color="auto"/>
            </w:tcBorders>
            <w:shd w:val="clear" w:color="auto" w:fill="auto"/>
            <w:noWrap/>
            <w:vAlign w:val="bottom"/>
            <w:hideMark/>
          </w:tcPr>
          <w:p w:rsidR="003D2DD3" w:rsidRPr="00DE5A0F" w:rsidRDefault="003D2DD3" w:rsidP="00563141">
            <w:pPr>
              <w:jc w:val="center"/>
              <w:rPr>
                <w:rFonts w:cs="Calibri"/>
                <w:color w:val="000000"/>
                <w:lang w:eastAsia="it-IT"/>
              </w:rPr>
            </w:pPr>
            <w:r w:rsidRPr="00DE5A0F">
              <w:rPr>
                <w:rFonts w:cs="Calibri"/>
                <w:color w:val="000000"/>
                <w:lang w:eastAsia="it-IT"/>
              </w:rPr>
              <w:t>14,58%</w:t>
            </w:r>
          </w:p>
        </w:tc>
      </w:tr>
      <w:tr w:rsidR="003D2DD3" w:rsidRPr="00DE5A0F" w:rsidTr="00563141">
        <w:trPr>
          <w:trHeight w:val="300"/>
        </w:trPr>
        <w:tc>
          <w:tcPr>
            <w:tcW w:w="1423" w:type="dxa"/>
            <w:tcBorders>
              <w:top w:val="nil"/>
              <w:left w:val="single" w:sz="4" w:space="0" w:color="auto"/>
              <w:bottom w:val="single" w:sz="4" w:space="0" w:color="auto"/>
              <w:right w:val="single" w:sz="4" w:space="0" w:color="auto"/>
            </w:tcBorders>
            <w:shd w:val="clear" w:color="auto" w:fill="auto"/>
            <w:noWrap/>
            <w:vAlign w:val="bottom"/>
            <w:hideMark/>
          </w:tcPr>
          <w:p w:rsidR="003D2DD3" w:rsidRPr="00DE5A0F" w:rsidRDefault="003D2DD3" w:rsidP="00563141">
            <w:pPr>
              <w:rPr>
                <w:rFonts w:cs="Calibri"/>
                <w:color w:val="000000"/>
                <w:lang w:eastAsia="it-IT"/>
              </w:rPr>
            </w:pPr>
            <w:r w:rsidRPr="00DE5A0F">
              <w:rPr>
                <w:rFonts w:cs="Calibri"/>
                <w:color w:val="000000"/>
                <w:lang w:eastAsia="it-IT"/>
              </w:rPr>
              <w:t>ANNO 2022</w:t>
            </w:r>
          </w:p>
        </w:tc>
        <w:tc>
          <w:tcPr>
            <w:tcW w:w="1557" w:type="dxa"/>
            <w:tcBorders>
              <w:top w:val="nil"/>
              <w:left w:val="nil"/>
              <w:bottom w:val="single" w:sz="4" w:space="0" w:color="auto"/>
              <w:right w:val="single" w:sz="4" w:space="0" w:color="auto"/>
            </w:tcBorders>
            <w:shd w:val="clear" w:color="auto" w:fill="auto"/>
            <w:noWrap/>
            <w:vAlign w:val="bottom"/>
            <w:hideMark/>
          </w:tcPr>
          <w:p w:rsidR="003D2DD3" w:rsidRPr="00DE5A0F" w:rsidRDefault="003D2DD3" w:rsidP="00563141">
            <w:pPr>
              <w:jc w:val="center"/>
              <w:rPr>
                <w:rFonts w:cs="Calibri"/>
                <w:color w:val="000000"/>
                <w:lang w:eastAsia="it-IT"/>
              </w:rPr>
            </w:pPr>
            <w:r w:rsidRPr="00DE5A0F">
              <w:rPr>
                <w:rFonts w:cs="Calibri"/>
                <w:color w:val="000000"/>
                <w:lang w:eastAsia="it-IT"/>
              </w:rPr>
              <w:t>284</w:t>
            </w:r>
          </w:p>
        </w:tc>
        <w:tc>
          <w:tcPr>
            <w:tcW w:w="1320" w:type="dxa"/>
            <w:tcBorders>
              <w:top w:val="nil"/>
              <w:left w:val="nil"/>
              <w:bottom w:val="single" w:sz="4" w:space="0" w:color="auto"/>
              <w:right w:val="single" w:sz="4" w:space="0" w:color="auto"/>
            </w:tcBorders>
            <w:shd w:val="clear" w:color="auto" w:fill="auto"/>
            <w:noWrap/>
            <w:vAlign w:val="bottom"/>
            <w:hideMark/>
          </w:tcPr>
          <w:p w:rsidR="003D2DD3" w:rsidRPr="00DE5A0F" w:rsidRDefault="003D2DD3" w:rsidP="00563141">
            <w:pPr>
              <w:jc w:val="center"/>
              <w:rPr>
                <w:rFonts w:cs="Calibri"/>
                <w:color w:val="000000"/>
                <w:lang w:eastAsia="it-IT"/>
              </w:rPr>
            </w:pPr>
            <w:r w:rsidRPr="00DE5A0F">
              <w:rPr>
                <w:rFonts w:cs="Calibri"/>
                <w:color w:val="000000"/>
                <w:lang w:eastAsia="it-IT"/>
              </w:rPr>
              <w:t>16,55%</w:t>
            </w:r>
          </w:p>
        </w:tc>
      </w:tr>
    </w:tbl>
    <w:p w:rsidR="003D2DD3" w:rsidRDefault="007E447E" w:rsidP="00210242">
      <w:pPr>
        <w:spacing w:line="360" w:lineRule="auto"/>
        <w:ind w:right="567"/>
        <w:jc w:val="both"/>
        <w:rPr>
          <w:b/>
          <w:i/>
        </w:rPr>
      </w:pPr>
      <w:r>
        <w:rPr>
          <w:b/>
          <w:i/>
        </w:rPr>
        <w:t>Fig. 2)</w:t>
      </w:r>
    </w:p>
    <w:p w:rsidR="00CD4FC9" w:rsidRDefault="003D2DD3" w:rsidP="00210242">
      <w:pPr>
        <w:spacing w:line="360" w:lineRule="auto"/>
        <w:ind w:right="141"/>
        <w:jc w:val="both"/>
        <w:rPr>
          <w:b/>
          <w:i/>
        </w:rPr>
      </w:pPr>
      <w:r w:rsidRPr="003D2DD3">
        <w:rPr>
          <w:b/>
          <w:i/>
          <w:noProof/>
          <w:lang w:eastAsia="it-IT"/>
        </w:rPr>
        <w:lastRenderedPageBreak/>
        <w:drawing>
          <wp:anchor distT="0" distB="0" distL="114300" distR="114300" simplePos="0" relativeHeight="251659264" behindDoc="0" locked="0" layoutInCell="1" allowOverlap="1">
            <wp:simplePos x="0" y="0"/>
            <wp:positionH relativeFrom="column">
              <wp:align>left</wp:align>
            </wp:positionH>
            <wp:positionV relativeFrom="paragraph">
              <wp:align>top</wp:align>
            </wp:positionV>
            <wp:extent cx="4572000" cy="2495550"/>
            <wp:effectExtent l="19050" t="0" r="19050" b="0"/>
            <wp:wrapSquare wrapText="bothSides"/>
            <wp:docPr id="9" name="Gra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3D2DD3" w:rsidRDefault="003D2DD3" w:rsidP="00210242">
      <w:pPr>
        <w:spacing w:line="360" w:lineRule="auto"/>
        <w:ind w:right="141"/>
        <w:jc w:val="both"/>
        <w:rPr>
          <w:b/>
          <w:i/>
        </w:rPr>
      </w:pPr>
    </w:p>
    <w:p w:rsidR="003D2DD3" w:rsidRDefault="003D2DD3" w:rsidP="00210242">
      <w:pPr>
        <w:spacing w:line="360" w:lineRule="auto"/>
        <w:ind w:right="141"/>
        <w:jc w:val="both"/>
        <w:rPr>
          <w:b/>
          <w:i/>
        </w:rPr>
      </w:pPr>
    </w:p>
    <w:p w:rsidR="003D2DD3" w:rsidRDefault="003D2DD3" w:rsidP="00210242">
      <w:pPr>
        <w:spacing w:line="360" w:lineRule="auto"/>
        <w:ind w:right="141"/>
        <w:jc w:val="both"/>
        <w:rPr>
          <w:b/>
          <w:i/>
        </w:rPr>
      </w:pPr>
    </w:p>
    <w:p w:rsidR="003D2DD3" w:rsidRDefault="003D2DD3" w:rsidP="00210242">
      <w:pPr>
        <w:spacing w:line="360" w:lineRule="auto"/>
        <w:ind w:right="141"/>
        <w:jc w:val="both"/>
        <w:rPr>
          <w:b/>
          <w:i/>
        </w:rPr>
      </w:pPr>
    </w:p>
    <w:p w:rsidR="003D2DD3" w:rsidRDefault="003D2DD3" w:rsidP="00210242">
      <w:pPr>
        <w:spacing w:line="360" w:lineRule="auto"/>
        <w:ind w:right="141"/>
        <w:jc w:val="both"/>
        <w:rPr>
          <w:b/>
          <w:i/>
        </w:rPr>
      </w:pPr>
    </w:p>
    <w:p w:rsidR="003D2DD3" w:rsidRDefault="003D2DD3" w:rsidP="00210242">
      <w:pPr>
        <w:spacing w:line="360" w:lineRule="auto"/>
        <w:ind w:right="141"/>
        <w:jc w:val="both"/>
        <w:rPr>
          <w:b/>
          <w:i/>
        </w:rPr>
      </w:pPr>
    </w:p>
    <w:p w:rsidR="00210242" w:rsidRDefault="00210242" w:rsidP="00210242">
      <w:pPr>
        <w:spacing w:line="360" w:lineRule="auto"/>
        <w:ind w:right="141"/>
        <w:jc w:val="both"/>
      </w:pPr>
    </w:p>
    <w:p w:rsidR="00210242" w:rsidRDefault="00210242" w:rsidP="00E46FA7">
      <w:pPr>
        <w:spacing w:line="240" w:lineRule="auto"/>
        <w:jc w:val="both"/>
      </w:pPr>
      <w:r>
        <w:t>Nelle tabelle seguent</w:t>
      </w:r>
      <w:r w:rsidR="00CD4FC9">
        <w:t>i è riportata, per gli anni 20</w:t>
      </w:r>
      <w:r w:rsidR="0057498E">
        <w:t>20</w:t>
      </w:r>
      <w:r>
        <w:t>-20</w:t>
      </w:r>
      <w:r w:rsidR="00CD4FC9">
        <w:t>2</w:t>
      </w:r>
      <w:r w:rsidR="0057498E">
        <w:t>2</w:t>
      </w:r>
      <w:r>
        <w:t>, la distribuzione del personale nelle fasce di riferimento, distinta per categoria di inquadramento.</w:t>
      </w:r>
    </w:p>
    <w:p w:rsidR="00A45BBE" w:rsidRDefault="00A45BBE" w:rsidP="00210242">
      <w:pPr>
        <w:spacing w:line="360" w:lineRule="auto"/>
        <w:ind w:right="567"/>
        <w:jc w:val="both"/>
        <w:rPr>
          <w:b/>
          <w:i/>
        </w:rPr>
      </w:pPr>
    </w:p>
    <w:p w:rsidR="00A45BBE" w:rsidRDefault="00A45BBE" w:rsidP="00210242">
      <w:pPr>
        <w:spacing w:line="360" w:lineRule="auto"/>
        <w:ind w:right="567"/>
        <w:jc w:val="both"/>
        <w:rPr>
          <w:b/>
          <w:i/>
        </w:rPr>
      </w:pPr>
    </w:p>
    <w:p w:rsidR="00210242" w:rsidRDefault="00210242" w:rsidP="00210242">
      <w:pPr>
        <w:spacing w:line="360" w:lineRule="auto"/>
        <w:ind w:right="567"/>
        <w:jc w:val="both"/>
        <w:rPr>
          <w:b/>
          <w:i/>
        </w:rPr>
      </w:pPr>
      <w:r w:rsidRPr="00CD4D1B">
        <w:rPr>
          <w:b/>
          <w:i/>
        </w:rPr>
        <w:t>Tab.</w:t>
      </w:r>
      <w:r>
        <w:rPr>
          <w:b/>
          <w:i/>
        </w:rPr>
        <w:t xml:space="preserve"> </w:t>
      </w:r>
      <w:r w:rsidR="007070E7">
        <w:rPr>
          <w:b/>
          <w:i/>
        </w:rPr>
        <w:t>3</w:t>
      </w:r>
      <w:r w:rsidRPr="00CD4D1B">
        <w:rPr>
          <w:b/>
          <w:i/>
        </w:rPr>
        <w:t>)</w:t>
      </w:r>
    </w:p>
    <w:tbl>
      <w:tblPr>
        <w:tblW w:w="9680" w:type="dxa"/>
        <w:tblInd w:w="55" w:type="dxa"/>
        <w:tblCellMar>
          <w:left w:w="70" w:type="dxa"/>
          <w:right w:w="70" w:type="dxa"/>
        </w:tblCellMar>
        <w:tblLook w:val="04A0"/>
      </w:tblPr>
      <w:tblGrid>
        <w:gridCol w:w="1147"/>
        <w:gridCol w:w="704"/>
        <w:gridCol w:w="916"/>
        <w:gridCol w:w="879"/>
        <w:gridCol w:w="2159"/>
        <w:gridCol w:w="1871"/>
        <w:gridCol w:w="2004"/>
      </w:tblGrid>
      <w:tr w:rsidR="007070E7" w:rsidRPr="00714B94" w:rsidTr="0039041A">
        <w:trPr>
          <w:trHeight w:val="448"/>
        </w:trPr>
        <w:tc>
          <w:tcPr>
            <w:tcW w:w="1147" w:type="dxa"/>
            <w:tcBorders>
              <w:top w:val="single" w:sz="8" w:space="0" w:color="auto"/>
              <w:left w:val="single" w:sz="8" w:space="0" w:color="auto"/>
              <w:bottom w:val="single" w:sz="4" w:space="0" w:color="auto"/>
              <w:right w:val="nil"/>
            </w:tcBorders>
            <w:shd w:val="clear" w:color="auto" w:fill="auto"/>
            <w:vAlign w:val="center"/>
            <w:hideMark/>
          </w:tcPr>
          <w:p w:rsidR="007070E7" w:rsidRPr="00194A2E" w:rsidRDefault="007070E7" w:rsidP="00FE270A">
            <w:pPr>
              <w:jc w:val="center"/>
              <w:rPr>
                <w:rFonts w:ascii="Arial" w:hAnsi="Arial" w:cs="Arial"/>
                <w:sz w:val="16"/>
                <w:szCs w:val="16"/>
                <w:lang w:eastAsia="it-IT"/>
              </w:rPr>
            </w:pPr>
            <w:r w:rsidRPr="00194A2E">
              <w:rPr>
                <w:rFonts w:ascii="Arial" w:hAnsi="Arial" w:cs="Arial"/>
                <w:sz w:val="16"/>
                <w:szCs w:val="16"/>
                <w:lang w:eastAsia="it-IT"/>
              </w:rPr>
              <w:t>tot. dipendenti valutati nel 2020</w:t>
            </w:r>
          </w:p>
        </w:tc>
        <w:tc>
          <w:tcPr>
            <w:tcW w:w="704" w:type="dxa"/>
            <w:tcBorders>
              <w:top w:val="single" w:sz="8" w:space="0" w:color="auto"/>
              <w:left w:val="single" w:sz="8" w:space="0" w:color="auto"/>
              <w:bottom w:val="nil"/>
              <w:right w:val="nil"/>
            </w:tcBorders>
            <w:shd w:val="clear" w:color="auto" w:fill="auto"/>
            <w:vAlign w:val="center"/>
            <w:hideMark/>
          </w:tcPr>
          <w:p w:rsidR="007070E7" w:rsidRPr="00194A2E" w:rsidRDefault="007070E7" w:rsidP="00FE270A">
            <w:pPr>
              <w:jc w:val="center"/>
              <w:rPr>
                <w:rFonts w:ascii="Arial" w:hAnsi="Arial" w:cs="Arial"/>
                <w:sz w:val="16"/>
                <w:szCs w:val="16"/>
                <w:lang w:eastAsia="it-IT"/>
              </w:rPr>
            </w:pPr>
            <w:r w:rsidRPr="00194A2E">
              <w:rPr>
                <w:rFonts w:ascii="Arial" w:hAnsi="Arial" w:cs="Arial"/>
                <w:sz w:val="16"/>
                <w:szCs w:val="16"/>
                <w:lang w:eastAsia="it-IT"/>
              </w:rPr>
              <w:t> </w:t>
            </w:r>
          </w:p>
        </w:tc>
        <w:tc>
          <w:tcPr>
            <w:tcW w:w="916" w:type="dxa"/>
            <w:tcBorders>
              <w:top w:val="single" w:sz="8" w:space="0" w:color="auto"/>
              <w:left w:val="single" w:sz="4" w:space="0" w:color="auto"/>
              <w:bottom w:val="nil"/>
              <w:right w:val="nil"/>
            </w:tcBorders>
            <w:shd w:val="clear" w:color="auto" w:fill="auto"/>
            <w:vAlign w:val="center"/>
            <w:hideMark/>
          </w:tcPr>
          <w:p w:rsidR="007070E7" w:rsidRPr="00194A2E" w:rsidRDefault="007070E7" w:rsidP="00FE270A">
            <w:pPr>
              <w:jc w:val="center"/>
              <w:rPr>
                <w:rFonts w:ascii="Arial" w:hAnsi="Arial" w:cs="Arial"/>
                <w:sz w:val="16"/>
                <w:szCs w:val="16"/>
                <w:lang w:eastAsia="it-IT"/>
              </w:rPr>
            </w:pPr>
            <w:r w:rsidRPr="00194A2E">
              <w:rPr>
                <w:rFonts w:ascii="Arial" w:hAnsi="Arial" w:cs="Arial"/>
                <w:sz w:val="16"/>
                <w:szCs w:val="16"/>
                <w:lang w:eastAsia="it-IT"/>
              </w:rPr>
              <w:t> </w:t>
            </w:r>
          </w:p>
        </w:tc>
        <w:tc>
          <w:tcPr>
            <w:tcW w:w="6913" w:type="dxa"/>
            <w:gridSpan w:val="4"/>
            <w:tcBorders>
              <w:top w:val="single" w:sz="8" w:space="0" w:color="auto"/>
              <w:left w:val="single" w:sz="4" w:space="0" w:color="auto"/>
              <w:bottom w:val="single" w:sz="4" w:space="0" w:color="auto"/>
              <w:right w:val="single" w:sz="8" w:space="0" w:color="000000"/>
            </w:tcBorders>
            <w:shd w:val="clear" w:color="auto" w:fill="auto"/>
            <w:noWrap/>
            <w:vAlign w:val="center"/>
            <w:hideMark/>
          </w:tcPr>
          <w:p w:rsidR="007070E7" w:rsidRPr="00194A2E" w:rsidRDefault="007070E7" w:rsidP="00FE270A">
            <w:pPr>
              <w:jc w:val="center"/>
              <w:rPr>
                <w:rFonts w:ascii="Arial" w:hAnsi="Arial" w:cs="Arial"/>
                <w:sz w:val="16"/>
                <w:szCs w:val="16"/>
                <w:lang w:eastAsia="it-IT"/>
              </w:rPr>
            </w:pPr>
            <w:r w:rsidRPr="00194A2E">
              <w:rPr>
                <w:rFonts w:ascii="Arial" w:hAnsi="Arial" w:cs="Arial"/>
                <w:sz w:val="16"/>
                <w:szCs w:val="16"/>
                <w:lang w:eastAsia="it-IT"/>
              </w:rPr>
              <w:t>FASCE DI VALUTAZIONE</w:t>
            </w:r>
          </w:p>
        </w:tc>
      </w:tr>
      <w:tr w:rsidR="007070E7" w:rsidRPr="00714B94" w:rsidTr="0039041A">
        <w:trPr>
          <w:trHeight w:val="687"/>
        </w:trPr>
        <w:tc>
          <w:tcPr>
            <w:tcW w:w="1147"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7070E7" w:rsidRPr="00714B94" w:rsidRDefault="007070E7" w:rsidP="00FE270A">
            <w:pPr>
              <w:jc w:val="center"/>
              <w:rPr>
                <w:rFonts w:ascii="Arial" w:hAnsi="Arial" w:cs="Arial"/>
                <w:b/>
                <w:sz w:val="16"/>
                <w:szCs w:val="16"/>
                <w:highlight w:val="yellow"/>
                <w:lang w:eastAsia="it-IT"/>
              </w:rPr>
            </w:pPr>
            <w:r>
              <w:rPr>
                <w:rFonts w:ascii="Arial" w:hAnsi="Arial" w:cs="Arial"/>
                <w:b/>
                <w:sz w:val="16"/>
                <w:szCs w:val="16"/>
                <w:lang w:eastAsia="it-IT"/>
              </w:rPr>
              <w:t>300</w:t>
            </w:r>
          </w:p>
        </w:tc>
        <w:tc>
          <w:tcPr>
            <w:tcW w:w="704" w:type="dxa"/>
            <w:tcBorders>
              <w:top w:val="single" w:sz="4" w:space="0" w:color="auto"/>
              <w:left w:val="single" w:sz="8" w:space="0" w:color="auto"/>
              <w:bottom w:val="nil"/>
              <w:right w:val="single" w:sz="4" w:space="0" w:color="auto"/>
            </w:tcBorders>
            <w:shd w:val="clear" w:color="auto" w:fill="auto"/>
            <w:noWrap/>
            <w:vAlign w:val="center"/>
            <w:hideMark/>
          </w:tcPr>
          <w:p w:rsidR="007070E7" w:rsidRPr="00194A2E" w:rsidRDefault="007070E7" w:rsidP="00FE270A">
            <w:pPr>
              <w:jc w:val="center"/>
              <w:rPr>
                <w:rFonts w:ascii="Arial" w:hAnsi="Arial" w:cs="Arial"/>
                <w:sz w:val="16"/>
                <w:szCs w:val="16"/>
                <w:lang w:eastAsia="it-IT"/>
              </w:rPr>
            </w:pPr>
            <w:r w:rsidRPr="00194A2E">
              <w:rPr>
                <w:rFonts w:ascii="Arial" w:hAnsi="Arial" w:cs="Arial"/>
                <w:sz w:val="16"/>
                <w:szCs w:val="16"/>
                <w:lang w:eastAsia="it-IT"/>
              </w:rPr>
              <w:t>cat.</w:t>
            </w:r>
          </w:p>
        </w:tc>
        <w:tc>
          <w:tcPr>
            <w:tcW w:w="916" w:type="dxa"/>
            <w:tcBorders>
              <w:top w:val="single" w:sz="4" w:space="0" w:color="auto"/>
              <w:left w:val="nil"/>
              <w:bottom w:val="nil"/>
              <w:right w:val="single" w:sz="4" w:space="0" w:color="auto"/>
            </w:tcBorders>
            <w:shd w:val="clear" w:color="auto" w:fill="auto"/>
            <w:vAlign w:val="center"/>
            <w:hideMark/>
          </w:tcPr>
          <w:p w:rsidR="007070E7" w:rsidRPr="00194A2E" w:rsidRDefault="007070E7" w:rsidP="00FE270A">
            <w:pPr>
              <w:rPr>
                <w:rFonts w:ascii="Arial" w:hAnsi="Arial" w:cs="Arial"/>
                <w:sz w:val="16"/>
                <w:szCs w:val="16"/>
                <w:lang w:eastAsia="it-IT"/>
              </w:rPr>
            </w:pPr>
            <w:r w:rsidRPr="00194A2E">
              <w:rPr>
                <w:rFonts w:ascii="Arial" w:hAnsi="Arial" w:cs="Arial"/>
                <w:sz w:val="16"/>
                <w:szCs w:val="16"/>
                <w:lang w:eastAsia="it-IT"/>
              </w:rPr>
              <w:t>n.</w:t>
            </w:r>
            <w:r>
              <w:rPr>
                <w:rFonts w:ascii="Arial" w:hAnsi="Arial" w:cs="Arial"/>
                <w:sz w:val="16"/>
                <w:szCs w:val="16"/>
                <w:lang w:eastAsia="it-IT"/>
              </w:rPr>
              <w:t xml:space="preserve"> </w:t>
            </w:r>
            <w:r w:rsidRPr="00194A2E">
              <w:rPr>
                <w:rFonts w:ascii="Arial" w:hAnsi="Arial" w:cs="Arial"/>
                <w:sz w:val="16"/>
                <w:szCs w:val="16"/>
                <w:lang w:eastAsia="it-IT"/>
              </w:rPr>
              <w:t xml:space="preserve">dipendenti per categoria  </w:t>
            </w:r>
          </w:p>
        </w:tc>
        <w:tc>
          <w:tcPr>
            <w:tcW w:w="879" w:type="dxa"/>
            <w:tcBorders>
              <w:top w:val="nil"/>
              <w:left w:val="nil"/>
              <w:bottom w:val="nil"/>
              <w:right w:val="single" w:sz="4" w:space="0" w:color="auto"/>
            </w:tcBorders>
            <w:shd w:val="clear" w:color="auto" w:fill="auto"/>
            <w:noWrap/>
            <w:vAlign w:val="bottom"/>
            <w:hideMark/>
          </w:tcPr>
          <w:p w:rsidR="007070E7" w:rsidRPr="00194A2E" w:rsidRDefault="007070E7" w:rsidP="00FE270A">
            <w:pPr>
              <w:jc w:val="center"/>
              <w:rPr>
                <w:rFonts w:ascii="Arial" w:hAnsi="Arial" w:cs="Arial"/>
                <w:sz w:val="16"/>
                <w:szCs w:val="16"/>
                <w:lang w:eastAsia="it-IT"/>
              </w:rPr>
            </w:pPr>
            <w:r w:rsidRPr="00194A2E">
              <w:rPr>
                <w:rFonts w:ascii="Arial" w:hAnsi="Arial" w:cs="Arial"/>
                <w:sz w:val="16"/>
                <w:szCs w:val="16"/>
                <w:lang w:eastAsia="it-IT"/>
              </w:rPr>
              <w:t> </w:t>
            </w:r>
          </w:p>
        </w:tc>
        <w:tc>
          <w:tcPr>
            <w:tcW w:w="2159" w:type="dxa"/>
            <w:tcBorders>
              <w:top w:val="nil"/>
              <w:left w:val="nil"/>
              <w:bottom w:val="nil"/>
              <w:right w:val="single" w:sz="4" w:space="0" w:color="auto"/>
            </w:tcBorders>
            <w:shd w:val="clear" w:color="auto" w:fill="auto"/>
            <w:noWrap/>
            <w:vAlign w:val="center"/>
            <w:hideMark/>
          </w:tcPr>
          <w:p w:rsidR="007070E7" w:rsidRPr="00194A2E" w:rsidRDefault="007070E7" w:rsidP="00FE270A">
            <w:pPr>
              <w:jc w:val="center"/>
              <w:rPr>
                <w:rFonts w:ascii="Arial" w:hAnsi="Arial" w:cs="Arial"/>
                <w:b/>
                <w:color w:val="000000"/>
                <w:sz w:val="16"/>
                <w:szCs w:val="16"/>
                <w:lang w:eastAsia="it-IT"/>
              </w:rPr>
            </w:pPr>
            <w:r>
              <w:rPr>
                <w:rFonts w:ascii="Arial" w:hAnsi="Arial" w:cs="Arial"/>
                <w:b/>
                <w:color w:val="000000"/>
                <w:sz w:val="16"/>
                <w:szCs w:val="16"/>
                <w:lang w:eastAsia="it-IT"/>
              </w:rPr>
              <w:t>Migliorabile</w:t>
            </w:r>
          </w:p>
        </w:tc>
        <w:tc>
          <w:tcPr>
            <w:tcW w:w="1871" w:type="dxa"/>
            <w:tcBorders>
              <w:top w:val="nil"/>
              <w:left w:val="nil"/>
              <w:bottom w:val="nil"/>
              <w:right w:val="single" w:sz="4" w:space="0" w:color="auto"/>
            </w:tcBorders>
            <w:shd w:val="clear" w:color="auto" w:fill="auto"/>
            <w:noWrap/>
            <w:vAlign w:val="center"/>
            <w:hideMark/>
          </w:tcPr>
          <w:p w:rsidR="007070E7" w:rsidRPr="00194A2E" w:rsidRDefault="007070E7" w:rsidP="00FE270A">
            <w:pPr>
              <w:jc w:val="center"/>
              <w:rPr>
                <w:rFonts w:ascii="Arial" w:hAnsi="Arial" w:cs="Arial"/>
                <w:b/>
                <w:color w:val="000000"/>
                <w:sz w:val="16"/>
                <w:szCs w:val="16"/>
                <w:lang w:eastAsia="it-IT"/>
              </w:rPr>
            </w:pPr>
            <w:r>
              <w:rPr>
                <w:rFonts w:ascii="Arial" w:hAnsi="Arial" w:cs="Arial"/>
                <w:b/>
                <w:color w:val="000000"/>
                <w:sz w:val="16"/>
                <w:szCs w:val="16"/>
                <w:lang w:eastAsia="it-IT"/>
              </w:rPr>
              <w:t>Conforme</w:t>
            </w:r>
          </w:p>
        </w:tc>
        <w:tc>
          <w:tcPr>
            <w:tcW w:w="2004" w:type="dxa"/>
            <w:tcBorders>
              <w:top w:val="nil"/>
              <w:left w:val="nil"/>
              <w:bottom w:val="nil"/>
              <w:right w:val="single" w:sz="4" w:space="0" w:color="auto"/>
            </w:tcBorders>
            <w:shd w:val="clear" w:color="auto" w:fill="auto"/>
            <w:noWrap/>
            <w:vAlign w:val="center"/>
            <w:hideMark/>
          </w:tcPr>
          <w:p w:rsidR="007070E7" w:rsidRPr="00194A2E" w:rsidRDefault="007070E7" w:rsidP="00FE270A">
            <w:pPr>
              <w:jc w:val="center"/>
              <w:rPr>
                <w:rFonts w:ascii="Arial" w:hAnsi="Arial" w:cs="Arial"/>
                <w:b/>
                <w:color w:val="000000"/>
                <w:sz w:val="16"/>
                <w:szCs w:val="16"/>
                <w:lang w:eastAsia="it-IT"/>
              </w:rPr>
            </w:pPr>
            <w:r>
              <w:rPr>
                <w:rFonts w:ascii="Arial" w:hAnsi="Arial" w:cs="Arial"/>
                <w:b/>
                <w:color w:val="000000"/>
                <w:sz w:val="16"/>
                <w:szCs w:val="16"/>
                <w:lang w:eastAsia="it-IT"/>
              </w:rPr>
              <w:t>Eccellente</w:t>
            </w:r>
          </w:p>
        </w:tc>
      </w:tr>
      <w:tr w:rsidR="007070E7" w:rsidRPr="00714B94" w:rsidTr="0039041A">
        <w:trPr>
          <w:trHeight w:val="254"/>
        </w:trPr>
        <w:tc>
          <w:tcPr>
            <w:tcW w:w="1147" w:type="dxa"/>
            <w:vMerge/>
            <w:tcBorders>
              <w:top w:val="nil"/>
              <w:left w:val="single" w:sz="8" w:space="0" w:color="auto"/>
              <w:bottom w:val="single" w:sz="8" w:space="0" w:color="000000"/>
              <w:right w:val="single" w:sz="4" w:space="0" w:color="auto"/>
            </w:tcBorders>
            <w:vAlign w:val="center"/>
            <w:hideMark/>
          </w:tcPr>
          <w:p w:rsidR="007070E7" w:rsidRPr="00714B94" w:rsidRDefault="007070E7" w:rsidP="00FE270A">
            <w:pPr>
              <w:rPr>
                <w:rFonts w:ascii="Arial" w:hAnsi="Arial" w:cs="Arial"/>
                <w:sz w:val="16"/>
                <w:szCs w:val="16"/>
                <w:highlight w:val="yellow"/>
                <w:lang w:eastAsia="it-IT"/>
              </w:rPr>
            </w:pPr>
          </w:p>
        </w:tc>
        <w:tc>
          <w:tcPr>
            <w:tcW w:w="704" w:type="dxa"/>
            <w:vMerge w:val="restart"/>
            <w:tcBorders>
              <w:top w:val="single" w:sz="8" w:space="0" w:color="auto"/>
              <w:left w:val="single" w:sz="8" w:space="0" w:color="auto"/>
              <w:bottom w:val="single" w:sz="8" w:space="0" w:color="000000"/>
              <w:right w:val="single" w:sz="4" w:space="0" w:color="auto"/>
            </w:tcBorders>
            <w:shd w:val="clear" w:color="000000" w:fill="CCECFF"/>
            <w:noWrap/>
            <w:vAlign w:val="center"/>
            <w:hideMark/>
          </w:tcPr>
          <w:p w:rsidR="007070E7" w:rsidRPr="00194A2E" w:rsidRDefault="007070E7" w:rsidP="00FE270A">
            <w:pPr>
              <w:jc w:val="center"/>
              <w:rPr>
                <w:rFonts w:ascii="Arial" w:hAnsi="Arial" w:cs="Arial"/>
                <w:sz w:val="16"/>
                <w:szCs w:val="16"/>
                <w:lang w:eastAsia="it-IT"/>
              </w:rPr>
            </w:pPr>
            <w:r w:rsidRPr="00194A2E">
              <w:rPr>
                <w:rFonts w:ascii="Arial" w:hAnsi="Arial" w:cs="Arial"/>
                <w:sz w:val="16"/>
                <w:szCs w:val="16"/>
                <w:lang w:eastAsia="it-IT"/>
              </w:rPr>
              <w:t>B</w:t>
            </w:r>
          </w:p>
        </w:tc>
        <w:tc>
          <w:tcPr>
            <w:tcW w:w="916" w:type="dxa"/>
            <w:vMerge w:val="restart"/>
            <w:tcBorders>
              <w:top w:val="single" w:sz="8" w:space="0" w:color="auto"/>
              <w:left w:val="single" w:sz="4" w:space="0" w:color="auto"/>
              <w:bottom w:val="single" w:sz="8" w:space="0" w:color="000000"/>
              <w:right w:val="single" w:sz="4" w:space="0" w:color="auto"/>
            </w:tcBorders>
            <w:shd w:val="clear" w:color="000000" w:fill="CCECFF"/>
            <w:noWrap/>
            <w:vAlign w:val="center"/>
            <w:hideMark/>
          </w:tcPr>
          <w:p w:rsidR="007070E7" w:rsidRPr="00194A2E" w:rsidRDefault="007070E7" w:rsidP="00FE270A">
            <w:pPr>
              <w:jc w:val="center"/>
              <w:rPr>
                <w:rFonts w:ascii="Arial" w:hAnsi="Arial" w:cs="Arial"/>
                <w:sz w:val="16"/>
                <w:szCs w:val="16"/>
                <w:lang w:eastAsia="it-IT"/>
              </w:rPr>
            </w:pPr>
            <w:r>
              <w:rPr>
                <w:rFonts w:ascii="Arial" w:hAnsi="Arial" w:cs="Arial"/>
                <w:sz w:val="16"/>
                <w:szCs w:val="16"/>
                <w:lang w:eastAsia="it-IT"/>
              </w:rPr>
              <w:t>81</w:t>
            </w:r>
          </w:p>
        </w:tc>
        <w:tc>
          <w:tcPr>
            <w:tcW w:w="879" w:type="dxa"/>
            <w:tcBorders>
              <w:top w:val="single" w:sz="8" w:space="0" w:color="auto"/>
              <w:left w:val="nil"/>
              <w:bottom w:val="single" w:sz="4" w:space="0" w:color="auto"/>
              <w:right w:val="single" w:sz="4" w:space="0" w:color="auto"/>
            </w:tcBorders>
            <w:shd w:val="clear" w:color="000000" w:fill="CCECFF"/>
            <w:noWrap/>
            <w:vAlign w:val="bottom"/>
            <w:hideMark/>
          </w:tcPr>
          <w:p w:rsidR="007070E7" w:rsidRPr="00194A2E" w:rsidRDefault="007070E7" w:rsidP="00FE270A">
            <w:pPr>
              <w:jc w:val="center"/>
              <w:rPr>
                <w:rFonts w:ascii="Arial" w:hAnsi="Arial" w:cs="Arial"/>
                <w:sz w:val="16"/>
                <w:szCs w:val="16"/>
                <w:lang w:eastAsia="it-IT"/>
              </w:rPr>
            </w:pPr>
            <w:r w:rsidRPr="00194A2E">
              <w:rPr>
                <w:rFonts w:ascii="Arial" w:hAnsi="Arial" w:cs="Arial"/>
                <w:sz w:val="16"/>
                <w:szCs w:val="16"/>
                <w:lang w:eastAsia="it-IT"/>
              </w:rPr>
              <w:t>n. dipendenti</w:t>
            </w:r>
          </w:p>
        </w:tc>
        <w:tc>
          <w:tcPr>
            <w:tcW w:w="2159" w:type="dxa"/>
            <w:tcBorders>
              <w:top w:val="single" w:sz="8" w:space="0" w:color="auto"/>
              <w:left w:val="nil"/>
              <w:bottom w:val="single" w:sz="4" w:space="0" w:color="auto"/>
              <w:right w:val="single" w:sz="4" w:space="0" w:color="auto"/>
            </w:tcBorders>
            <w:shd w:val="clear" w:color="000000" w:fill="CCECFF"/>
            <w:noWrap/>
            <w:vAlign w:val="bottom"/>
            <w:hideMark/>
          </w:tcPr>
          <w:p w:rsidR="007070E7" w:rsidRPr="00194A2E" w:rsidRDefault="007070E7" w:rsidP="00FE270A">
            <w:pPr>
              <w:jc w:val="center"/>
              <w:rPr>
                <w:rFonts w:ascii="Arial" w:hAnsi="Arial" w:cs="Arial"/>
                <w:sz w:val="16"/>
                <w:szCs w:val="16"/>
                <w:lang w:eastAsia="it-IT"/>
              </w:rPr>
            </w:pPr>
            <w:r>
              <w:rPr>
                <w:rFonts w:ascii="Arial" w:hAnsi="Arial" w:cs="Arial"/>
                <w:sz w:val="16"/>
                <w:szCs w:val="16"/>
                <w:lang w:eastAsia="it-IT"/>
              </w:rPr>
              <w:t>2</w:t>
            </w:r>
          </w:p>
        </w:tc>
        <w:tc>
          <w:tcPr>
            <w:tcW w:w="1871" w:type="dxa"/>
            <w:tcBorders>
              <w:top w:val="single" w:sz="8" w:space="0" w:color="auto"/>
              <w:left w:val="nil"/>
              <w:bottom w:val="single" w:sz="4" w:space="0" w:color="auto"/>
              <w:right w:val="single" w:sz="4" w:space="0" w:color="auto"/>
            </w:tcBorders>
            <w:shd w:val="clear" w:color="000000" w:fill="CCECFF"/>
            <w:noWrap/>
            <w:vAlign w:val="bottom"/>
            <w:hideMark/>
          </w:tcPr>
          <w:p w:rsidR="007070E7" w:rsidRPr="00194A2E" w:rsidRDefault="007070E7" w:rsidP="00FE270A">
            <w:pPr>
              <w:jc w:val="center"/>
              <w:rPr>
                <w:rFonts w:ascii="Arial" w:hAnsi="Arial" w:cs="Arial"/>
                <w:sz w:val="16"/>
                <w:szCs w:val="16"/>
                <w:lang w:eastAsia="it-IT"/>
              </w:rPr>
            </w:pPr>
            <w:r>
              <w:rPr>
                <w:rFonts w:ascii="Arial" w:hAnsi="Arial" w:cs="Arial"/>
                <w:sz w:val="16"/>
                <w:szCs w:val="16"/>
                <w:lang w:eastAsia="it-IT"/>
              </w:rPr>
              <w:t>77</w:t>
            </w:r>
          </w:p>
        </w:tc>
        <w:tc>
          <w:tcPr>
            <w:tcW w:w="2004" w:type="dxa"/>
            <w:tcBorders>
              <w:top w:val="single" w:sz="8" w:space="0" w:color="auto"/>
              <w:left w:val="nil"/>
              <w:bottom w:val="single" w:sz="4" w:space="0" w:color="auto"/>
              <w:right w:val="single" w:sz="4" w:space="0" w:color="auto"/>
            </w:tcBorders>
            <w:shd w:val="clear" w:color="000000" w:fill="CCECFF"/>
            <w:noWrap/>
            <w:vAlign w:val="bottom"/>
            <w:hideMark/>
          </w:tcPr>
          <w:p w:rsidR="007070E7" w:rsidRPr="00194A2E" w:rsidRDefault="007070E7" w:rsidP="00FE270A">
            <w:pPr>
              <w:jc w:val="center"/>
              <w:rPr>
                <w:rFonts w:ascii="Arial" w:hAnsi="Arial" w:cs="Arial"/>
                <w:sz w:val="16"/>
                <w:szCs w:val="16"/>
                <w:lang w:eastAsia="it-IT"/>
              </w:rPr>
            </w:pPr>
            <w:r>
              <w:rPr>
                <w:rFonts w:ascii="Arial" w:hAnsi="Arial" w:cs="Arial"/>
                <w:sz w:val="16"/>
                <w:szCs w:val="16"/>
                <w:lang w:eastAsia="it-IT"/>
              </w:rPr>
              <w:t>2</w:t>
            </w:r>
          </w:p>
        </w:tc>
      </w:tr>
      <w:tr w:rsidR="007070E7" w:rsidRPr="00714B94" w:rsidTr="0039041A">
        <w:trPr>
          <w:trHeight w:val="268"/>
        </w:trPr>
        <w:tc>
          <w:tcPr>
            <w:tcW w:w="1147" w:type="dxa"/>
            <w:vMerge/>
            <w:tcBorders>
              <w:top w:val="nil"/>
              <w:left w:val="single" w:sz="8" w:space="0" w:color="auto"/>
              <w:bottom w:val="single" w:sz="8" w:space="0" w:color="000000"/>
              <w:right w:val="single" w:sz="4" w:space="0" w:color="auto"/>
            </w:tcBorders>
            <w:vAlign w:val="center"/>
            <w:hideMark/>
          </w:tcPr>
          <w:p w:rsidR="007070E7" w:rsidRPr="00714B94" w:rsidRDefault="007070E7" w:rsidP="00FE270A">
            <w:pPr>
              <w:rPr>
                <w:rFonts w:ascii="Arial" w:hAnsi="Arial" w:cs="Arial"/>
                <w:sz w:val="16"/>
                <w:szCs w:val="16"/>
                <w:highlight w:val="yellow"/>
                <w:lang w:eastAsia="it-IT"/>
              </w:rPr>
            </w:pPr>
          </w:p>
        </w:tc>
        <w:tc>
          <w:tcPr>
            <w:tcW w:w="704" w:type="dxa"/>
            <w:vMerge/>
            <w:tcBorders>
              <w:top w:val="single" w:sz="8" w:space="0" w:color="auto"/>
              <w:left w:val="single" w:sz="8" w:space="0" w:color="auto"/>
              <w:bottom w:val="single" w:sz="8" w:space="0" w:color="000000"/>
              <w:right w:val="single" w:sz="4" w:space="0" w:color="auto"/>
            </w:tcBorders>
            <w:vAlign w:val="center"/>
            <w:hideMark/>
          </w:tcPr>
          <w:p w:rsidR="007070E7" w:rsidRPr="00194A2E" w:rsidRDefault="007070E7" w:rsidP="00FE270A">
            <w:pPr>
              <w:rPr>
                <w:rFonts w:ascii="Arial" w:hAnsi="Arial" w:cs="Arial"/>
                <w:sz w:val="16"/>
                <w:szCs w:val="16"/>
                <w:lang w:eastAsia="it-IT"/>
              </w:rPr>
            </w:pPr>
          </w:p>
        </w:tc>
        <w:tc>
          <w:tcPr>
            <w:tcW w:w="916" w:type="dxa"/>
            <w:vMerge/>
            <w:tcBorders>
              <w:top w:val="single" w:sz="8" w:space="0" w:color="auto"/>
              <w:left w:val="single" w:sz="4" w:space="0" w:color="auto"/>
              <w:bottom w:val="single" w:sz="8" w:space="0" w:color="000000"/>
              <w:right w:val="single" w:sz="4" w:space="0" w:color="auto"/>
            </w:tcBorders>
            <w:vAlign w:val="center"/>
            <w:hideMark/>
          </w:tcPr>
          <w:p w:rsidR="007070E7" w:rsidRPr="00194A2E" w:rsidRDefault="007070E7" w:rsidP="00FE270A">
            <w:pPr>
              <w:rPr>
                <w:rFonts w:ascii="Arial" w:hAnsi="Arial" w:cs="Arial"/>
                <w:sz w:val="16"/>
                <w:szCs w:val="16"/>
                <w:lang w:eastAsia="it-IT"/>
              </w:rPr>
            </w:pPr>
          </w:p>
        </w:tc>
        <w:tc>
          <w:tcPr>
            <w:tcW w:w="879" w:type="dxa"/>
            <w:tcBorders>
              <w:top w:val="nil"/>
              <w:left w:val="nil"/>
              <w:bottom w:val="single" w:sz="8" w:space="0" w:color="auto"/>
              <w:right w:val="single" w:sz="4" w:space="0" w:color="auto"/>
            </w:tcBorders>
            <w:shd w:val="clear" w:color="000000" w:fill="CCECFF"/>
            <w:noWrap/>
            <w:vAlign w:val="bottom"/>
            <w:hideMark/>
          </w:tcPr>
          <w:p w:rsidR="007070E7" w:rsidRPr="00194A2E" w:rsidRDefault="007070E7" w:rsidP="00FE270A">
            <w:pPr>
              <w:jc w:val="center"/>
              <w:rPr>
                <w:rFonts w:ascii="Arial" w:hAnsi="Arial" w:cs="Arial"/>
                <w:sz w:val="16"/>
                <w:szCs w:val="16"/>
                <w:lang w:eastAsia="it-IT"/>
              </w:rPr>
            </w:pPr>
            <w:r w:rsidRPr="00194A2E">
              <w:rPr>
                <w:rFonts w:ascii="Arial" w:hAnsi="Arial" w:cs="Arial"/>
                <w:sz w:val="16"/>
                <w:szCs w:val="16"/>
                <w:lang w:eastAsia="it-IT"/>
              </w:rPr>
              <w:t>%</w:t>
            </w:r>
          </w:p>
        </w:tc>
        <w:tc>
          <w:tcPr>
            <w:tcW w:w="2159" w:type="dxa"/>
            <w:tcBorders>
              <w:top w:val="nil"/>
              <w:left w:val="nil"/>
              <w:bottom w:val="single" w:sz="8" w:space="0" w:color="auto"/>
              <w:right w:val="single" w:sz="4" w:space="0" w:color="auto"/>
            </w:tcBorders>
            <w:shd w:val="clear" w:color="000000" w:fill="CCECFF"/>
            <w:noWrap/>
            <w:vAlign w:val="bottom"/>
            <w:hideMark/>
          </w:tcPr>
          <w:p w:rsidR="007070E7" w:rsidRPr="00194A2E" w:rsidRDefault="007070E7" w:rsidP="00FE270A">
            <w:pPr>
              <w:jc w:val="center"/>
              <w:rPr>
                <w:rFonts w:ascii="Arial" w:hAnsi="Arial" w:cs="Arial"/>
                <w:color w:val="000000"/>
                <w:sz w:val="16"/>
                <w:szCs w:val="16"/>
                <w:lang w:eastAsia="it-IT"/>
              </w:rPr>
            </w:pPr>
            <w:r>
              <w:rPr>
                <w:rFonts w:ascii="Arial" w:hAnsi="Arial" w:cs="Arial"/>
                <w:color w:val="000000"/>
                <w:sz w:val="16"/>
                <w:szCs w:val="16"/>
                <w:lang w:eastAsia="it-IT"/>
              </w:rPr>
              <w:t>2,47%</w:t>
            </w:r>
          </w:p>
        </w:tc>
        <w:tc>
          <w:tcPr>
            <w:tcW w:w="1871" w:type="dxa"/>
            <w:tcBorders>
              <w:top w:val="nil"/>
              <w:left w:val="nil"/>
              <w:bottom w:val="single" w:sz="8" w:space="0" w:color="auto"/>
              <w:right w:val="single" w:sz="4" w:space="0" w:color="auto"/>
            </w:tcBorders>
            <w:shd w:val="clear" w:color="000000" w:fill="CCECFF"/>
            <w:noWrap/>
            <w:vAlign w:val="bottom"/>
            <w:hideMark/>
          </w:tcPr>
          <w:p w:rsidR="007070E7" w:rsidRPr="00194A2E" w:rsidRDefault="007070E7" w:rsidP="00FE270A">
            <w:pPr>
              <w:jc w:val="center"/>
              <w:rPr>
                <w:rFonts w:ascii="Arial" w:hAnsi="Arial" w:cs="Arial"/>
                <w:color w:val="000000"/>
                <w:sz w:val="16"/>
                <w:szCs w:val="16"/>
                <w:lang w:eastAsia="it-IT"/>
              </w:rPr>
            </w:pPr>
            <w:r>
              <w:rPr>
                <w:rFonts w:ascii="Arial" w:hAnsi="Arial" w:cs="Arial"/>
                <w:color w:val="000000"/>
                <w:sz w:val="16"/>
                <w:szCs w:val="16"/>
                <w:lang w:eastAsia="it-IT"/>
              </w:rPr>
              <w:t>95,06%</w:t>
            </w:r>
          </w:p>
        </w:tc>
        <w:tc>
          <w:tcPr>
            <w:tcW w:w="2004" w:type="dxa"/>
            <w:tcBorders>
              <w:top w:val="nil"/>
              <w:left w:val="nil"/>
              <w:bottom w:val="single" w:sz="8" w:space="0" w:color="auto"/>
              <w:right w:val="single" w:sz="4" w:space="0" w:color="auto"/>
            </w:tcBorders>
            <w:shd w:val="clear" w:color="000000" w:fill="CCECFF"/>
            <w:noWrap/>
            <w:vAlign w:val="bottom"/>
            <w:hideMark/>
          </w:tcPr>
          <w:p w:rsidR="007070E7" w:rsidRPr="00194A2E" w:rsidRDefault="007070E7" w:rsidP="00FE270A">
            <w:pPr>
              <w:jc w:val="center"/>
              <w:rPr>
                <w:rFonts w:ascii="Arial" w:hAnsi="Arial" w:cs="Arial"/>
                <w:color w:val="000000"/>
                <w:sz w:val="16"/>
                <w:szCs w:val="16"/>
                <w:lang w:eastAsia="it-IT"/>
              </w:rPr>
            </w:pPr>
            <w:r>
              <w:rPr>
                <w:rFonts w:ascii="Arial" w:hAnsi="Arial" w:cs="Arial"/>
                <w:color w:val="000000"/>
                <w:sz w:val="16"/>
                <w:szCs w:val="16"/>
                <w:lang w:eastAsia="it-IT"/>
              </w:rPr>
              <w:t>2,47%</w:t>
            </w:r>
          </w:p>
        </w:tc>
      </w:tr>
      <w:tr w:rsidR="007070E7" w:rsidRPr="00714B94" w:rsidTr="0039041A">
        <w:trPr>
          <w:trHeight w:val="254"/>
        </w:trPr>
        <w:tc>
          <w:tcPr>
            <w:tcW w:w="1147" w:type="dxa"/>
            <w:vMerge/>
            <w:tcBorders>
              <w:top w:val="nil"/>
              <w:left w:val="single" w:sz="8" w:space="0" w:color="auto"/>
              <w:bottom w:val="single" w:sz="8" w:space="0" w:color="000000"/>
              <w:right w:val="single" w:sz="4" w:space="0" w:color="auto"/>
            </w:tcBorders>
            <w:vAlign w:val="center"/>
            <w:hideMark/>
          </w:tcPr>
          <w:p w:rsidR="007070E7" w:rsidRPr="00714B94" w:rsidRDefault="007070E7" w:rsidP="00FE270A">
            <w:pPr>
              <w:rPr>
                <w:rFonts w:ascii="Arial" w:hAnsi="Arial" w:cs="Arial"/>
                <w:sz w:val="16"/>
                <w:szCs w:val="16"/>
                <w:highlight w:val="yellow"/>
                <w:lang w:eastAsia="it-IT"/>
              </w:rPr>
            </w:pPr>
          </w:p>
        </w:tc>
        <w:tc>
          <w:tcPr>
            <w:tcW w:w="704" w:type="dxa"/>
            <w:vMerge w:val="restart"/>
            <w:tcBorders>
              <w:top w:val="nil"/>
              <w:left w:val="single" w:sz="8" w:space="0" w:color="auto"/>
              <w:bottom w:val="single" w:sz="8" w:space="0" w:color="000000"/>
              <w:right w:val="single" w:sz="4" w:space="0" w:color="auto"/>
            </w:tcBorders>
            <w:shd w:val="clear" w:color="000000" w:fill="99CCFF"/>
            <w:noWrap/>
            <w:vAlign w:val="center"/>
            <w:hideMark/>
          </w:tcPr>
          <w:p w:rsidR="007070E7" w:rsidRPr="00194A2E" w:rsidRDefault="007070E7" w:rsidP="00FE270A">
            <w:pPr>
              <w:jc w:val="center"/>
              <w:rPr>
                <w:rFonts w:ascii="Arial" w:hAnsi="Arial" w:cs="Arial"/>
                <w:sz w:val="16"/>
                <w:szCs w:val="16"/>
                <w:lang w:eastAsia="it-IT"/>
              </w:rPr>
            </w:pPr>
            <w:r w:rsidRPr="00194A2E">
              <w:rPr>
                <w:rFonts w:ascii="Arial" w:hAnsi="Arial" w:cs="Arial"/>
                <w:sz w:val="16"/>
                <w:szCs w:val="16"/>
                <w:lang w:eastAsia="it-IT"/>
              </w:rPr>
              <w:t>C</w:t>
            </w:r>
          </w:p>
        </w:tc>
        <w:tc>
          <w:tcPr>
            <w:tcW w:w="916" w:type="dxa"/>
            <w:vMerge w:val="restart"/>
            <w:tcBorders>
              <w:top w:val="nil"/>
              <w:left w:val="single" w:sz="4" w:space="0" w:color="auto"/>
              <w:bottom w:val="single" w:sz="8" w:space="0" w:color="000000"/>
              <w:right w:val="single" w:sz="4" w:space="0" w:color="auto"/>
            </w:tcBorders>
            <w:shd w:val="clear" w:color="000000" w:fill="99CCFF"/>
            <w:noWrap/>
            <w:vAlign w:val="center"/>
            <w:hideMark/>
          </w:tcPr>
          <w:p w:rsidR="007070E7" w:rsidRPr="00194A2E" w:rsidRDefault="007070E7" w:rsidP="00FE270A">
            <w:pPr>
              <w:jc w:val="center"/>
              <w:rPr>
                <w:rFonts w:ascii="Arial" w:hAnsi="Arial" w:cs="Arial"/>
                <w:sz w:val="16"/>
                <w:szCs w:val="16"/>
                <w:lang w:eastAsia="it-IT"/>
              </w:rPr>
            </w:pPr>
            <w:r>
              <w:rPr>
                <w:rFonts w:ascii="Arial" w:hAnsi="Arial" w:cs="Arial"/>
                <w:sz w:val="16"/>
                <w:szCs w:val="16"/>
                <w:lang w:eastAsia="it-IT"/>
              </w:rPr>
              <w:t>142</w:t>
            </w:r>
          </w:p>
        </w:tc>
        <w:tc>
          <w:tcPr>
            <w:tcW w:w="879" w:type="dxa"/>
            <w:tcBorders>
              <w:top w:val="nil"/>
              <w:left w:val="nil"/>
              <w:bottom w:val="single" w:sz="4" w:space="0" w:color="auto"/>
              <w:right w:val="single" w:sz="4" w:space="0" w:color="auto"/>
            </w:tcBorders>
            <w:shd w:val="clear" w:color="000000" w:fill="99CCFF"/>
            <w:noWrap/>
            <w:vAlign w:val="bottom"/>
            <w:hideMark/>
          </w:tcPr>
          <w:p w:rsidR="007070E7" w:rsidRPr="00194A2E" w:rsidRDefault="007070E7" w:rsidP="00FE270A">
            <w:pPr>
              <w:jc w:val="center"/>
              <w:rPr>
                <w:rFonts w:ascii="Arial" w:hAnsi="Arial" w:cs="Arial"/>
                <w:color w:val="000000"/>
                <w:sz w:val="16"/>
                <w:szCs w:val="16"/>
                <w:lang w:eastAsia="it-IT"/>
              </w:rPr>
            </w:pPr>
            <w:r w:rsidRPr="00194A2E">
              <w:rPr>
                <w:rFonts w:ascii="Arial" w:hAnsi="Arial" w:cs="Arial"/>
                <w:color w:val="000000"/>
                <w:sz w:val="16"/>
                <w:szCs w:val="16"/>
                <w:lang w:eastAsia="it-IT"/>
              </w:rPr>
              <w:t>n. dipendenti</w:t>
            </w:r>
          </w:p>
        </w:tc>
        <w:tc>
          <w:tcPr>
            <w:tcW w:w="2159" w:type="dxa"/>
            <w:tcBorders>
              <w:top w:val="nil"/>
              <w:left w:val="nil"/>
              <w:bottom w:val="single" w:sz="4" w:space="0" w:color="auto"/>
              <w:right w:val="single" w:sz="4" w:space="0" w:color="auto"/>
            </w:tcBorders>
            <w:shd w:val="clear" w:color="000000" w:fill="99CCFF"/>
            <w:noWrap/>
            <w:vAlign w:val="bottom"/>
            <w:hideMark/>
          </w:tcPr>
          <w:p w:rsidR="007070E7" w:rsidRPr="00194A2E" w:rsidRDefault="007070E7" w:rsidP="00FE270A">
            <w:pPr>
              <w:jc w:val="center"/>
              <w:rPr>
                <w:rFonts w:ascii="Arial" w:hAnsi="Arial" w:cs="Arial"/>
                <w:color w:val="000000"/>
                <w:sz w:val="16"/>
                <w:szCs w:val="16"/>
                <w:lang w:eastAsia="it-IT"/>
              </w:rPr>
            </w:pPr>
            <w:r>
              <w:rPr>
                <w:rFonts w:ascii="Arial" w:hAnsi="Arial" w:cs="Arial"/>
                <w:color w:val="000000"/>
                <w:sz w:val="16"/>
                <w:szCs w:val="16"/>
                <w:lang w:eastAsia="it-IT"/>
              </w:rPr>
              <w:t>0</w:t>
            </w:r>
          </w:p>
        </w:tc>
        <w:tc>
          <w:tcPr>
            <w:tcW w:w="1871" w:type="dxa"/>
            <w:tcBorders>
              <w:top w:val="nil"/>
              <w:left w:val="nil"/>
              <w:bottom w:val="single" w:sz="4" w:space="0" w:color="auto"/>
              <w:right w:val="single" w:sz="4" w:space="0" w:color="auto"/>
            </w:tcBorders>
            <w:shd w:val="clear" w:color="000000" w:fill="99CCFF"/>
            <w:noWrap/>
            <w:vAlign w:val="bottom"/>
            <w:hideMark/>
          </w:tcPr>
          <w:p w:rsidR="007070E7" w:rsidRPr="00194A2E" w:rsidRDefault="007070E7" w:rsidP="00FE270A">
            <w:pPr>
              <w:jc w:val="center"/>
              <w:rPr>
                <w:rFonts w:ascii="Arial" w:hAnsi="Arial" w:cs="Arial"/>
                <w:color w:val="000000"/>
                <w:sz w:val="16"/>
                <w:szCs w:val="16"/>
                <w:lang w:eastAsia="it-IT"/>
              </w:rPr>
            </w:pPr>
            <w:r>
              <w:rPr>
                <w:rFonts w:ascii="Arial" w:hAnsi="Arial" w:cs="Arial"/>
                <w:color w:val="000000"/>
                <w:sz w:val="16"/>
                <w:szCs w:val="16"/>
                <w:lang w:eastAsia="it-IT"/>
              </w:rPr>
              <w:t>120</w:t>
            </w:r>
          </w:p>
        </w:tc>
        <w:tc>
          <w:tcPr>
            <w:tcW w:w="2004" w:type="dxa"/>
            <w:tcBorders>
              <w:top w:val="nil"/>
              <w:left w:val="nil"/>
              <w:bottom w:val="single" w:sz="4" w:space="0" w:color="auto"/>
              <w:right w:val="single" w:sz="4" w:space="0" w:color="auto"/>
            </w:tcBorders>
            <w:shd w:val="clear" w:color="000000" w:fill="99CCFF"/>
            <w:noWrap/>
            <w:vAlign w:val="bottom"/>
            <w:hideMark/>
          </w:tcPr>
          <w:p w:rsidR="007070E7" w:rsidRPr="00194A2E" w:rsidRDefault="007070E7" w:rsidP="00FE270A">
            <w:pPr>
              <w:jc w:val="center"/>
              <w:rPr>
                <w:rFonts w:ascii="Arial" w:hAnsi="Arial" w:cs="Arial"/>
                <w:color w:val="000000"/>
                <w:sz w:val="16"/>
                <w:szCs w:val="16"/>
                <w:lang w:eastAsia="it-IT"/>
              </w:rPr>
            </w:pPr>
            <w:r>
              <w:rPr>
                <w:rFonts w:ascii="Arial" w:hAnsi="Arial" w:cs="Arial"/>
                <w:color w:val="000000"/>
                <w:sz w:val="16"/>
                <w:szCs w:val="16"/>
                <w:lang w:eastAsia="it-IT"/>
              </w:rPr>
              <w:t>22</w:t>
            </w:r>
          </w:p>
        </w:tc>
      </w:tr>
      <w:tr w:rsidR="007070E7" w:rsidRPr="00714B94" w:rsidTr="0039041A">
        <w:trPr>
          <w:trHeight w:val="268"/>
        </w:trPr>
        <w:tc>
          <w:tcPr>
            <w:tcW w:w="1147" w:type="dxa"/>
            <w:vMerge/>
            <w:tcBorders>
              <w:top w:val="nil"/>
              <w:left w:val="single" w:sz="8" w:space="0" w:color="auto"/>
              <w:bottom w:val="single" w:sz="8" w:space="0" w:color="000000"/>
              <w:right w:val="single" w:sz="4" w:space="0" w:color="auto"/>
            </w:tcBorders>
            <w:vAlign w:val="center"/>
            <w:hideMark/>
          </w:tcPr>
          <w:p w:rsidR="007070E7" w:rsidRPr="00714B94" w:rsidRDefault="007070E7" w:rsidP="00FE270A">
            <w:pPr>
              <w:rPr>
                <w:rFonts w:ascii="Arial" w:hAnsi="Arial" w:cs="Arial"/>
                <w:sz w:val="16"/>
                <w:szCs w:val="16"/>
                <w:highlight w:val="yellow"/>
                <w:lang w:eastAsia="it-IT"/>
              </w:rPr>
            </w:pPr>
          </w:p>
        </w:tc>
        <w:tc>
          <w:tcPr>
            <w:tcW w:w="704" w:type="dxa"/>
            <w:vMerge/>
            <w:tcBorders>
              <w:top w:val="nil"/>
              <w:left w:val="single" w:sz="8" w:space="0" w:color="auto"/>
              <w:bottom w:val="single" w:sz="8" w:space="0" w:color="000000"/>
              <w:right w:val="single" w:sz="4" w:space="0" w:color="auto"/>
            </w:tcBorders>
            <w:vAlign w:val="center"/>
            <w:hideMark/>
          </w:tcPr>
          <w:p w:rsidR="007070E7" w:rsidRPr="00194A2E" w:rsidRDefault="007070E7" w:rsidP="00FE270A">
            <w:pPr>
              <w:rPr>
                <w:rFonts w:ascii="Arial" w:hAnsi="Arial" w:cs="Arial"/>
                <w:sz w:val="16"/>
                <w:szCs w:val="16"/>
                <w:lang w:eastAsia="it-IT"/>
              </w:rPr>
            </w:pPr>
          </w:p>
        </w:tc>
        <w:tc>
          <w:tcPr>
            <w:tcW w:w="916" w:type="dxa"/>
            <w:vMerge/>
            <w:tcBorders>
              <w:top w:val="nil"/>
              <w:left w:val="single" w:sz="4" w:space="0" w:color="auto"/>
              <w:bottom w:val="single" w:sz="8" w:space="0" w:color="000000"/>
              <w:right w:val="single" w:sz="4" w:space="0" w:color="auto"/>
            </w:tcBorders>
            <w:vAlign w:val="center"/>
            <w:hideMark/>
          </w:tcPr>
          <w:p w:rsidR="007070E7" w:rsidRPr="00194A2E" w:rsidRDefault="007070E7" w:rsidP="00FE270A">
            <w:pPr>
              <w:rPr>
                <w:rFonts w:ascii="Arial" w:hAnsi="Arial" w:cs="Arial"/>
                <w:sz w:val="16"/>
                <w:szCs w:val="16"/>
                <w:lang w:eastAsia="it-IT"/>
              </w:rPr>
            </w:pPr>
          </w:p>
        </w:tc>
        <w:tc>
          <w:tcPr>
            <w:tcW w:w="879" w:type="dxa"/>
            <w:tcBorders>
              <w:top w:val="nil"/>
              <w:left w:val="nil"/>
              <w:bottom w:val="single" w:sz="8" w:space="0" w:color="auto"/>
              <w:right w:val="single" w:sz="4" w:space="0" w:color="auto"/>
            </w:tcBorders>
            <w:shd w:val="clear" w:color="000000" w:fill="99CCFF"/>
            <w:noWrap/>
            <w:vAlign w:val="bottom"/>
            <w:hideMark/>
          </w:tcPr>
          <w:p w:rsidR="007070E7" w:rsidRPr="00194A2E" w:rsidRDefault="007070E7" w:rsidP="00FE270A">
            <w:pPr>
              <w:jc w:val="center"/>
              <w:rPr>
                <w:rFonts w:ascii="Arial" w:hAnsi="Arial" w:cs="Arial"/>
                <w:sz w:val="16"/>
                <w:szCs w:val="16"/>
                <w:lang w:eastAsia="it-IT"/>
              </w:rPr>
            </w:pPr>
            <w:r w:rsidRPr="00194A2E">
              <w:rPr>
                <w:rFonts w:ascii="Arial" w:hAnsi="Arial" w:cs="Arial"/>
                <w:sz w:val="16"/>
                <w:szCs w:val="16"/>
                <w:lang w:eastAsia="it-IT"/>
              </w:rPr>
              <w:t>%</w:t>
            </w:r>
          </w:p>
        </w:tc>
        <w:tc>
          <w:tcPr>
            <w:tcW w:w="2159" w:type="dxa"/>
            <w:tcBorders>
              <w:top w:val="nil"/>
              <w:left w:val="nil"/>
              <w:bottom w:val="single" w:sz="8" w:space="0" w:color="auto"/>
              <w:right w:val="single" w:sz="4" w:space="0" w:color="auto"/>
            </w:tcBorders>
            <w:shd w:val="clear" w:color="000000" w:fill="99CCFF"/>
            <w:noWrap/>
            <w:vAlign w:val="bottom"/>
            <w:hideMark/>
          </w:tcPr>
          <w:p w:rsidR="007070E7" w:rsidRPr="00194A2E" w:rsidRDefault="007070E7" w:rsidP="00FE270A">
            <w:pPr>
              <w:jc w:val="center"/>
              <w:rPr>
                <w:rFonts w:ascii="Arial" w:hAnsi="Arial" w:cs="Arial"/>
                <w:color w:val="000000"/>
                <w:sz w:val="16"/>
                <w:szCs w:val="16"/>
                <w:lang w:eastAsia="it-IT"/>
              </w:rPr>
            </w:pPr>
            <w:r>
              <w:rPr>
                <w:rFonts w:ascii="Arial" w:hAnsi="Arial" w:cs="Arial"/>
                <w:color w:val="000000"/>
                <w:sz w:val="16"/>
                <w:szCs w:val="16"/>
                <w:lang w:eastAsia="it-IT"/>
              </w:rPr>
              <w:t>0,00%</w:t>
            </w:r>
          </w:p>
        </w:tc>
        <w:tc>
          <w:tcPr>
            <w:tcW w:w="1871" w:type="dxa"/>
            <w:tcBorders>
              <w:top w:val="nil"/>
              <w:left w:val="nil"/>
              <w:bottom w:val="single" w:sz="8" w:space="0" w:color="auto"/>
              <w:right w:val="single" w:sz="4" w:space="0" w:color="auto"/>
            </w:tcBorders>
            <w:shd w:val="clear" w:color="000000" w:fill="99CCFF"/>
            <w:noWrap/>
            <w:vAlign w:val="bottom"/>
            <w:hideMark/>
          </w:tcPr>
          <w:p w:rsidR="007070E7" w:rsidRPr="00194A2E" w:rsidRDefault="007070E7" w:rsidP="00FE270A">
            <w:pPr>
              <w:jc w:val="center"/>
              <w:rPr>
                <w:rFonts w:ascii="Arial" w:hAnsi="Arial" w:cs="Arial"/>
                <w:color w:val="000000"/>
                <w:sz w:val="16"/>
                <w:szCs w:val="16"/>
                <w:lang w:eastAsia="it-IT"/>
              </w:rPr>
            </w:pPr>
            <w:r>
              <w:rPr>
                <w:rFonts w:ascii="Arial" w:hAnsi="Arial" w:cs="Arial"/>
                <w:color w:val="000000"/>
                <w:sz w:val="16"/>
                <w:szCs w:val="16"/>
                <w:lang w:eastAsia="it-IT"/>
              </w:rPr>
              <w:t>84,51%</w:t>
            </w:r>
          </w:p>
        </w:tc>
        <w:tc>
          <w:tcPr>
            <w:tcW w:w="2004" w:type="dxa"/>
            <w:tcBorders>
              <w:top w:val="nil"/>
              <w:left w:val="nil"/>
              <w:bottom w:val="single" w:sz="8" w:space="0" w:color="auto"/>
              <w:right w:val="single" w:sz="4" w:space="0" w:color="auto"/>
            </w:tcBorders>
            <w:shd w:val="clear" w:color="000000" w:fill="99CCFF"/>
            <w:noWrap/>
            <w:vAlign w:val="bottom"/>
            <w:hideMark/>
          </w:tcPr>
          <w:p w:rsidR="007070E7" w:rsidRPr="00194A2E" w:rsidRDefault="007070E7" w:rsidP="00FE270A">
            <w:pPr>
              <w:jc w:val="center"/>
              <w:rPr>
                <w:rFonts w:ascii="Arial" w:hAnsi="Arial" w:cs="Arial"/>
                <w:color w:val="000000"/>
                <w:sz w:val="16"/>
                <w:szCs w:val="16"/>
                <w:lang w:eastAsia="it-IT"/>
              </w:rPr>
            </w:pPr>
            <w:r>
              <w:rPr>
                <w:rFonts w:ascii="Arial" w:hAnsi="Arial" w:cs="Arial"/>
                <w:color w:val="000000"/>
                <w:sz w:val="16"/>
                <w:szCs w:val="16"/>
                <w:lang w:eastAsia="it-IT"/>
              </w:rPr>
              <w:t>15,49%</w:t>
            </w:r>
          </w:p>
        </w:tc>
      </w:tr>
      <w:tr w:rsidR="007070E7" w:rsidRPr="00714B94" w:rsidTr="0039041A">
        <w:trPr>
          <w:trHeight w:val="254"/>
        </w:trPr>
        <w:tc>
          <w:tcPr>
            <w:tcW w:w="1147" w:type="dxa"/>
            <w:vMerge/>
            <w:tcBorders>
              <w:top w:val="nil"/>
              <w:left w:val="single" w:sz="8" w:space="0" w:color="auto"/>
              <w:bottom w:val="single" w:sz="8" w:space="0" w:color="000000"/>
              <w:right w:val="single" w:sz="4" w:space="0" w:color="auto"/>
            </w:tcBorders>
            <w:vAlign w:val="center"/>
            <w:hideMark/>
          </w:tcPr>
          <w:p w:rsidR="007070E7" w:rsidRPr="00714B94" w:rsidRDefault="007070E7" w:rsidP="00FE270A">
            <w:pPr>
              <w:rPr>
                <w:rFonts w:ascii="Arial" w:hAnsi="Arial" w:cs="Arial"/>
                <w:sz w:val="16"/>
                <w:szCs w:val="16"/>
                <w:highlight w:val="yellow"/>
                <w:lang w:eastAsia="it-IT"/>
              </w:rPr>
            </w:pPr>
          </w:p>
        </w:tc>
        <w:tc>
          <w:tcPr>
            <w:tcW w:w="704" w:type="dxa"/>
            <w:vMerge w:val="restart"/>
            <w:tcBorders>
              <w:top w:val="nil"/>
              <w:left w:val="single" w:sz="8" w:space="0" w:color="auto"/>
              <w:bottom w:val="single" w:sz="8" w:space="0" w:color="000000"/>
              <w:right w:val="single" w:sz="4" w:space="0" w:color="auto"/>
            </w:tcBorders>
            <w:shd w:val="clear" w:color="000000" w:fill="6699FF"/>
            <w:noWrap/>
            <w:vAlign w:val="center"/>
            <w:hideMark/>
          </w:tcPr>
          <w:p w:rsidR="007070E7" w:rsidRPr="00194A2E" w:rsidRDefault="007070E7" w:rsidP="00FE270A">
            <w:pPr>
              <w:jc w:val="center"/>
              <w:rPr>
                <w:rFonts w:ascii="Arial" w:hAnsi="Arial" w:cs="Arial"/>
                <w:sz w:val="16"/>
                <w:szCs w:val="16"/>
                <w:lang w:eastAsia="it-IT"/>
              </w:rPr>
            </w:pPr>
            <w:r w:rsidRPr="00194A2E">
              <w:rPr>
                <w:rFonts w:ascii="Arial" w:hAnsi="Arial" w:cs="Arial"/>
                <w:sz w:val="16"/>
                <w:szCs w:val="16"/>
                <w:lang w:eastAsia="it-IT"/>
              </w:rPr>
              <w:t>D</w:t>
            </w:r>
          </w:p>
        </w:tc>
        <w:tc>
          <w:tcPr>
            <w:tcW w:w="916" w:type="dxa"/>
            <w:vMerge w:val="restart"/>
            <w:tcBorders>
              <w:top w:val="nil"/>
              <w:left w:val="single" w:sz="4" w:space="0" w:color="auto"/>
              <w:bottom w:val="single" w:sz="8" w:space="0" w:color="000000"/>
              <w:right w:val="single" w:sz="4" w:space="0" w:color="auto"/>
            </w:tcBorders>
            <w:shd w:val="clear" w:color="000000" w:fill="6699FF"/>
            <w:noWrap/>
            <w:vAlign w:val="center"/>
            <w:hideMark/>
          </w:tcPr>
          <w:p w:rsidR="007070E7" w:rsidRPr="00194A2E" w:rsidRDefault="007070E7" w:rsidP="00FE270A">
            <w:pPr>
              <w:jc w:val="center"/>
              <w:rPr>
                <w:rFonts w:ascii="Arial" w:hAnsi="Arial" w:cs="Arial"/>
                <w:sz w:val="16"/>
                <w:szCs w:val="16"/>
                <w:lang w:eastAsia="it-IT"/>
              </w:rPr>
            </w:pPr>
            <w:r>
              <w:rPr>
                <w:rFonts w:ascii="Arial" w:hAnsi="Arial" w:cs="Arial"/>
                <w:sz w:val="16"/>
                <w:szCs w:val="16"/>
                <w:lang w:eastAsia="it-IT"/>
              </w:rPr>
              <w:t>77</w:t>
            </w:r>
          </w:p>
        </w:tc>
        <w:tc>
          <w:tcPr>
            <w:tcW w:w="879" w:type="dxa"/>
            <w:tcBorders>
              <w:top w:val="nil"/>
              <w:left w:val="nil"/>
              <w:bottom w:val="single" w:sz="4" w:space="0" w:color="auto"/>
              <w:right w:val="single" w:sz="4" w:space="0" w:color="auto"/>
            </w:tcBorders>
            <w:shd w:val="clear" w:color="000000" w:fill="6699FF"/>
            <w:noWrap/>
            <w:vAlign w:val="bottom"/>
            <w:hideMark/>
          </w:tcPr>
          <w:p w:rsidR="007070E7" w:rsidRPr="00194A2E" w:rsidRDefault="007070E7" w:rsidP="00FE270A">
            <w:pPr>
              <w:jc w:val="center"/>
              <w:rPr>
                <w:rFonts w:ascii="Arial" w:hAnsi="Arial" w:cs="Arial"/>
                <w:color w:val="000000"/>
                <w:sz w:val="16"/>
                <w:szCs w:val="16"/>
                <w:lang w:eastAsia="it-IT"/>
              </w:rPr>
            </w:pPr>
            <w:r w:rsidRPr="00194A2E">
              <w:rPr>
                <w:rFonts w:ascii="Arial" w:hAnsi="Arial" w:cs="Arial"/>
                <w:color w:val="000000"/>
                <w:sz w:val="16"/>
                <w:szCs w:val="16"/>
                <w:lang w:eastAsia="it-IT"/>
              </w:rPr>
              <w:t>n. dipendenti</w:t>
            </w:r>
          </w:p>
        </w:tc>
        <w:tc>
          <w:tcPr>
            <w:tcW w:w="2159" w:type="dxa"/>
            <w:tcBorders>
              <w:top w:val="nil"/>
              <w:left w:val="nil"/>
              <w:bottom w:val="single" w:sz="4" w:space="0" w:color="auto"/>
              <w:right w:val="single" w:sz="4" w:space="0" w:color="auto"/>
            </w:tcBorders>
            <w:shd w:val="clear" w:color="000000" w:fill="6699FF"/>
            <w:noWrap/>
            <w:vAlign w:val="bottom"/>
            <w:hideMark/>
          </w:tcPr>
          <w:p w:rsidR="007070E7" w:rsidRPr="00194A2E" w:rsidRDefault="007070E7" w:rsidP="00FE270A">
            <w:pPr>
              <w:jc w:val="center"/>
              <w:rPr>
                <w:rFonts w:ascii="Arial" w:hAnsi="Arial" w:cs="Arial"/>
                <w:color w:val="000000"/>
                <w:sz w:val="16"/>
                <w:szCs w:val="16"/>
                <w:lang w:eastAsia="it-IT"/>
              </w:rPr>
            </w:pPr>
            <w:r>
              <w:rPr>
                <w:rFonts w:ascii="Arial" w:hAnsi="Arial" w:cs="Arial"/>
                <w:color w:val="000000"/>
                <w:sz w:val="16"/>
                <w:szCs w:val="16"/>
                <w:lang w:eastAsia="it-IT"/>
              </w:rPr>
              <w:t>1</w:t>
            </w:r>
          </w:p>
        </w:tc>
        <w:tc>
          <w:tcPr>
            <w:tcW w:w="1871" w:type="dxa"/>
            <w:tcBorders>
              <w:top w:val="nil"/>
              <w:left w:val="nil"/>
              <w:bottom w:val="single" w:sz="4" w:space="0" w:color="auto"/>
              <w:right w:val="single" w:sz="4" w:space="0" w:color="auto"/>
            </w:tcBorders>
            <w:shd w:val="clear" w:color="000000" w:fill="6699FF"/>
            <w:noWrap/>
            <w:vAlign w:val="bottom"/>
            <w:hideMark/>
          </w:tcPr>
          <w:p w:rsidR="007070E7" w:rsidRPr="00194A2E" w:rsidRDefault="007070E7" w:rsidP="00FE270A">
            <w:pPr>
              <w:jc w:val="center"/>
              <w:rPr>
                <w:rFonts w:ascii="Arial" w:hAnsi="Arial" w:cs="Arial"/>
                <w:color w:val="000000"/>
                <w:sz w:val="16"/>
                <w:szCs w:val="16"/>
                <w:lang w:eastAsia="it-IT"/>
              </w:rPr>
            </w:pPr>
            <w:r>
              <w:rPr>
                <w:rFonts w:ascii="Arial" w:hAnsi="Arial" w:cs="Arial"/>
                <w:color w:val="000000"/>
                <w:sz w:val="16"/>
                <w:szCs w:val="16"/>
                <w:lang w:eastAsia="it-IT"/>
              </w:rPr>
              <w:t>70</w:t>
            </w:r>
          </w:p>
        </w:tc>
        <w:tc>
          <w:tcPr>
            <w:tcW w:w="2004" w:type="dxa"/>
            <w:tcBorders>
              <w:top w:val="nil"/>
              <w:left w:val="nil"/>
              <w:bottom w:val="single" w:sz="4" w:space="0" w:color="auto"/>
              <w:right w:val="single" w:sz="4" w:space="0" w:color="auto"/>
            </w:tcBorders>
            <w:shd w:val="clear" w:color="000000" w:fill="6699FF"/>
            <w:noWrap/>
            <w:vAlign w:val="bottom"/>
            <w:hideMark/>
          </w:tcPr>
          <w:p w:rsidR="007070E7" w:rsidRPr="00194A2E" w:rsidRDefault="007070E7" w:rsidP="00FE270A">
            <w:pPr>
              <w:jc w:val="center"/>
              <w:rPr>
                <w:rFonts w:ascii="Arial" w:hAnsi="Arial" w:cs="Arial"/>
                <w:color w:val="000000"/>
                <w:sz w:val="16"/>
                <w:szCs w:val="16"/>
                <w:lang w:eastAsia="it-IT"/>
              </w:rPr>
            </w:pPr>
            <w:r>
              <w:rPr>
                <w:rFonts w:ascii="Arial" w:hAnsi="Arial" w:cs="Arial"/>
                <w:color w:val="000000"/>
                <w:sz w:val="16"/>
                <w:szCs w:val="16"/>
                <w:lang w:eastAsia="it-IT"/>
              </w:rPr>
              <w:t>6</w:t>
            </w:r>
          </w:p>
        </w:tc>
      </w:tr>
      <w:tr w:rsidR="007070E7" w:rsidRPr="00714B94" w:rsidTr="0039041A">
        <w:trPr>
          <w:trHeight w:val="268"/>
        </w:trPr>
        <w:tc>
          <w:tcPr>
            <w:tcW w:w="1147" w:type="dxa"/>
            <w:vMerge/>
            <w:tcBorders>
              <w:top w:val="nil"/>
              <w:left w:val="single" w:sz="8" w:space="0" w:color="auto"/>
              <w:bottom w:val="single" w:sz="8" w:space="0" w:color="000000"/>
              <w:right w:val="single" w:sz="4" w:space="0" w:color="auto"/>
            </w:tcBorders>
            <w:vAlign w:val="center"/>
            <w:hideMark/>
          </w:tcPr>
          <w:p w:rsidR="007070E7" w:rsidRPr="00714B94" w:rsidRDefault="007070E7" w:rsidP="00FE270A">
            <w:pPr>
              <w:rPr>
                <w:rFonts w:ascii="Arial" w:hAnsi="Arial" w:cs="Arial"/>
                <w:sz w:val="16"/>
                <w:szCs w:val="16"/>
                <w:highlight w:val="yellow"/>
                <w:lang w:eastAsia="it-IT"/>
              </w:rPr>
            </w:pPr>
          </w:p>
        </w:tc>
        <w:tc>
          <w:tcPr>
            <w:tcW w:w="704" w:type="dxa"/>
            <w:vMerge/>
            <w:tcBorders>
              <w:top w:val="nil"/>
              <w:left w:val="single" w:sz="8" w:space="0" w:color="auto"/>
              <w:bottom w:val="single" w:sz="8" w:space="0" w:color="000000"/>
              <w:right w:val="single" w:sz="4" w:space="0" w:color="auto"/>
            </w:tcBorders>
            <w:vAlign w:val="center"/>
            <w:hideMark/>
          </w:tcPr>
          <w:p w:rsidR="007070E7" w:rsidRPr="00194A2E" w:rsidRDefault="007070E7" w:rsidP="00FE270A">
            <w:pPr>
              <w:rPr>
                <w:rFonts w:ascii="Arial" w:hAnsi="Arial" w:cs="Arial"/>
                <w:sz w:val="16"/>
                <w:szCs w:val="16"/>
                <w:lang w:eastAsia="it-IT"/>
              </w:rPr>
            </w:pPr>
          </w:p>
        </w:tc>
        <w:tc>
          <w:tcPr>
            <w:tcW w:w="916" w:type="dxa"/>
            <w:vMerge/>
            <w:tcBorders>
              <w:top w:val="nil"/>
              <w:left w:val="single" w:sz="4" w:space="0" w:color="auto"/>
              <w:bottom w:val="single" w:sz="8" w:space="0" w:color="000000"/>
              <w:right w:val="single" w:sz="4" w:space="0" w:color="auto"/>
            </w:tcBorders>
            <w:vAlign w:val="center"/>
            <w:hideMark/>
          </w:tcPr>
          <w:p w:rsidR="007070E7" w:rsidRPr="00194A2E" w:rsidRDefault="007070E7" w:rsidP="00FE270A">
            <w:pPr>
              <w:rPr>
                <w:rFonts w:ascii="Arial" w:hAnsi="Arial" w:cs="Arial"/>
                <w:sz w:val="16"/>
                <w:szCs w:val="16"/>
                <w:lang w:eastAsia="it-IT"/>
              </w:rPr>
            </w:pPr>
          </w:p>
        </w:tc>
        <w:tc>
          <w:tcPr>
            <w:tcW w:w="879" w:type="dxa"/>
            <w:tcBorders>
              <w:top w:val="nil"/>
              <w:left w:val="nil"/>
              <w:bottom w:val="single" w:sz="8" w:space="0" w:color="auto"/>
              <w:right w:val="single" w:sz="4" w:space="0" w:color="auto"/>
            </w:tcBorders>
            <w:shd w:val="clear" w:color="000000" w:fill="6699FF"/>
            <w:noWrap/>
            <w:vAlign w:val="bottom"/>
            <w:hideMark/>
          </w:tcPr>
          <w:p w:rsidR="007070E7" w:rsidRPr="00194A2E" w:rsidRDefault="007070E7" w:rsidP="00FE270A">
            <w:pPr>
              <w:jc w:val="center"/>
              <w:rPr>
                <w:rFonts w:ascii="Arial" w:hAnsi="Arial" w:cs="Arial"/>
                <w:sz w:val="16"/>
                <w:szCs w:val="16"/>
                <w:lang w:eastAsia="it-IT"/>
              </w:rPr>
            </w:pPr>
            <w:r w:rsidRPr="00194A2E">
              <w:rPr>
                <w:rFonts w:ascii="Arial" w:hAnsi="Arial" w:cs="Arial"/>
                <w:sz w:val="16"/>
                <w:szCs w:val="16"/>
                <w:lang w:eastAsia="it-IT"/>
              </w:rPr>
              <w:t>%</w:t>
            </w:r>
          </w:p>
        </w:tc>
        <w:tc>
          <w:tcPr>
            <w:tcW w:w="2159" w:type="dxa"/>
            <w:tcBorders>
              <w:top w:val="nil"/>
              <w:left w:val="nil"/>
              <w:bottom w:val="single" w:sz="8" w:space="0" w:color="auto"/>
              <w:right w:val="single" w:sz="4" w:space="0" w:color="auto"/>
            </w:tcBorders>
            <w:shd w:val="clear" w:color="000000" w:fill="6699FF"/>
            <w:noWrap/>
            <w:vAlign w:val="bottom"/>
            <w:hideMark/>
          </w:tcPr>
          <w:p w:rsidR="007070E7" w:rsidRPr="00194A2E" w:rsidRDefault="007070E7" w:rsidP="00FE270A">
            <w:pPr>
              <w:jc w:val="center"/>
              <w:rPr>
                <w:rFonts w:ascii="Arial" w:hAnsi="Arial" w:cs="Arial"/>
                <w:color w:val="000000"/>
                <w:sz w:val="16"/>
                <w:szCs w:val="16"/>
                <w:lang w:eastAsia="it-IT"/>
              </w:rPr>
            </w:pPr>
            <w:r>
              <w:rPr>
                <w:rFonts w:ascii="Arial" w:hAnsi="Arial" w:cs="Arial"/>
                <w:color w:val="000000"/>
                <w:sz w:val="16"/>
                <w:szCs w:val="16"/>
                <w:lang w:eastAsia="it-IT"/>
              </w:rPr>
              <w:t>1,30%</w:t>
            </w:r>
          </w:p>
        </w:tc>
        <w:tc>
          <w:tcPr>
            <w:tcW w:w="1871" w:type="dxa"/>
            <w:tcBorders>
              <w:top w:val="nil"/>
              <w:left w:val="nil"/>
              <w:bottom w:val="single" w:sz="8" w:space="0" w:color="auto"/>
              <w:right w:val="single" w:sz="4" w:space="0" w:color="auto"/>
            </w:tcBorders>
            <w:shd w:val="clear" w:color="000000" w:fill="6699FF"/>
            <w:noWrap/>
            <w:vAlign w:val="bottom"/>
            <w:hideMark/>
          </w:tcPr>
          <w:p w:rsidR="007070E7" w:rsidRPr="00194A2E" w:rsidRDefault="007070E7" w:rsidP="00FE270A">
            <w:pPr>
              <w:jc w:val="center"/>
              <w:rPr>
                <w:rFonts w:ascii="Arial" w:hAnsi="Arial" w:cs="Arial"/>
                <w:color w:val="000000"/>
                <w:sz w:val="16"/>
                <w:szCs w:val="16"/>
                <w:lang w:eastAsia="it-IT"/>
              </w:rPr>
            </w:pPr>
            <w:r>
              <w:rPr>
                <w:rFonts w:ascii="Arial" w:hAnsi="Arial" w:cs="Arial"/>
                <w:color w:val="000000"/>
                <w:sz w:val="16"/>
                <w:szCs w:val="16"/>
                <w:lang w:eastAsia="it-IT"/>
              </w:rPr>
              <w:t>90,91%</w:t>
            </w:r>
          </w:p>
        </w:tc>
        <w:tc>
          <w:tcPr>
            <w:tcW w:w="2004" w:type="dxa"/>
            <w:tcBorders>
              <w:top w:val="nil"/>
              <w:left w:val="nil"/>
              <w:bottom w:val="single" w:sz="8" w:space="0" w:color="auto"/>
              <w:right w:val="single" w:sz="4" w:space="0" w:color="auto"/>
            </w:tcBorders>
            <w:shd w:val="clear" w:color="000000" w:fill="6699FF"/>
            <w:noWrap/>
            <w:vAlign w:val="bottom"/>
            <w:hideMark/>
          </w:tcPr>
          <w:p w:rsidR="007070E7" w:rsidRPr="00194A2E" w:rsidRDefault="007070E7" w:rsidP="00FE270A">
            <w:pPr>
              <w:jc w:val="center"/>
              <w:rPr>
                <w:rFonts w:ascii="Arial" w:hAnsi="Arial" w:cs="Arial"/>
                <w:color w:val="000000"/>
                <w:sz w:val="16"/>
                <w:szCs w:val="16"/>
                <w:lang w:eastAsia="it-IT"/>
              </w:rPr>
            </w:pPr>
            <w:r>
              <w:rPr>
                <w:rFonts w:ascii="Arial" w:hAnsi="Arial" w:cs="Arial"/>
                <w:color w:val="000000"/>
                <w:sz w:val="16"/>
                <w:szCs w:val="16"/>
                <w:lang w:eastAsia="it-IT"/>
              </w:rPr>
              <w:t>7,79%</w:t>
            </w:r>
          </w:p>
        </w:tc>
      </w:tr>
      <w:tr w:rsidR="007070E7" w:rsidRPr="00714B94" w:rsidTr="0039041A">
        <w:trPr>
          <w:trHeight w:val="254"/>
        </w:trPr>
        <w:tc>
          <w:tcPr>
            <w:tcW w:w="1147" w:type="dxa"/>
            <w:vMerge/>
            <w:tcBorders>
              <w:top w:val="nil"/>
              <w:left w:val="single" w:sz="8" w:space="0" w:color="auto"/>
              <w:bottom w:val="single" w:sz="8" w:space="0" w:color="000000"/>
              <w:right w:val="single" w:sz="4" w:space="0" w:color="auto"/>
            </w:tcBorders>
            <w:vAlign w:val="center"/>
            <w:hideMark/>
          </w:tcPr>
          <w:p w:rsidR="007070E7" w:rsidRPr="00714B94" w:rsidRDefault="007070E7" w:rsidP="00FE270A">
            <w:pPr>
              <w:rPr>
                <w:rFonts w:ascii="Arial" w:hAnsi="Arial" w:cs="Arial"/>
                <w:sz w:val="16"/>
                <w:szCs w:val="16"/>
                <w:highlight w:val="yellow"/>
                <w:lang w:eastAsia="it-IT"/>
              </w:rPr>
            </w:pPr>
          </w:p>
        </w:tc>
        <w:tc>
          <w:tcPr>
            <w:tcW w:w="1620" w:type="dxa"/>
            <w:gridSpan w:val="2"/>
            <w:vMerge w:val="restart"/>
            <w:tcBorders>
              <w:top w:val="single" w:sz="8" w:space="0" w:color="auto"/>
              <w:left w:val="single" w:sz="8" w:space="0" w:color="auto"/>
              <w:bottom w:val="single" w:sz="8" w:space="0" w:color="000000"/>
              <w:right w:val="single" w:sz="4" w:space="0" w:color="000000"/>
            </w:tcBorders>
            <w:shd w:val="clear" w:color="000000" w:fill="3366FF"/>
            <w:noWrap/>
            <w:vAlign w:val="center"/>
            <w:hideMark/>
          </w:tcPr>
          <w:p w:rsidR="007070E7" w:rsidRPr="00194A2E" w:rsidRDefault="007070E7" w:rsidP="00FE270A">
            <w:pPr>
              <w:jc w:val="center"/>
              <w:rPr>
                <w:rFonts w:ascii="Arial" w:hAnsi="Arial" w:cs="Arial"/>
                <w:b/>
                <w:bCs/>
                <w:sz w:val="16"/>
                <w:szCs w:val="16"/>
                <w:lang w:eastAsia="it-IT"/>
              </w:rPr>
            </w:pPr>
            <w:r w:rsidRPr="00194A2E">
              <w:rPr>
                <w:rFonts w:ascii="Arial" w:hAnsi="Arial" w:cs="Arial"/>
                <w:b/>
                <w:bCs/>
                <w:sz w:val="16"/>
                <w:szCs w:val="16"/>
                <w:lang w:eastAsia="it-IT"/>
              </w:rPr>
              <w:t>TOTALE</w:t>
            </w:r>
          </w:p>
        </w:tc>
        <w:tc>
          <w:tcPr>
            <w:tcW w:w="879" w:type="dxa"/>
            <w:tcBorders>
              <w:top w:val="nil"/>
              <w:left w:val="nil"/>
              <w:bottom w:val="single" w:sz="4" w:space="0" w:color="auto"/>
              <w:right w:val="single" w:sz="4" w:space="0" w:color="auto"/>
            </w:tcBorders>
            <w:shd w:val="clear" w:color="000000" w:fill="3366FF"/>
            <w:noWrap/>
            <w:vAlign w:val="bottom"/>
            <w:hideMark/>
          </w:tcPr>
          <w:p w:rsidR="007070E7" w:rsidRPr="00194A2E" w:rsidRDefault="007070E7" w:rsidP="00FE270A">
            <w:pPr>
              <w:jc w:val="center"/>
              <w:rPr>
                <w:rFonts w:ascii="Arial" w:hAnsi="Arial" w:cs="Arial"/>
                <w:color w:val="000000"/>
                <w:sz w:val="16"/>
                <w:szCs w:val="16"/>
                <w:lang w:eastAsia="it-IT"/>
              </w:rPr>
            </w:pPr>
            <w:r w:rsidRPr="00194A2E">
              <w:rPr>
                <w:rFonts w:ascii="Arial" w:hAnsi="Arial" w:cs="Arial"/>
                <w:color w:val="000000"/>
                <w:sz w:val="16"/>
                <w:szCs w:val="16"/>
                <w:lang w:eastAsia="it-IT"/>
              </w:rPr>
              <w:t>n. dipendenti</w:t>
            </w:r>
          </w:p>
        </w:tc>
        <w:tc>
          <w:tcPr>
            <w:tcW w:w="2159" w:type="dxa"/>
            <w:tcBorders>
              <w:top w:val="nil"/>
              <w:left w:val="nil"/>
              <w:bottom w:val="single" w:sz="4" w:space="0" w:color="auto"/>
              <w:right w:val="single" w:sz="4" w:space="0" w:color="auto"/>
            </w:tcBorders>
            <w:shd w:val="clear" w:color="000000" w:fill="3366FF"/>
            <w:noWrap/>
            <w:vAlign w:val="bottom"/>
            <w:hideMark/>
          </w:tcPr>
          <w:p w:rsidR="007070E7" w:rsidRPr="00194A2E" w:rsidRDefault="007070E7" w:rsidP="00FE270A">
            <w:pPr>
              <w:jc w:val="center"/>
              <w:rPr>
                <w:rFonts w:ascii="Arial" w:hAnsi="Arial" w:cs="Arial"/>
                <w:color w:val="000000"/>
                <w:sz w:val="16"/>
                <w:szCs w:val="16"/>
                <w:lang w:eastAsia="it-IT"/>
              </w:rPr>
            </w:pPr>
            <w:r>
              <w:rPr>
                <w:rFonts w:ascii="Arial" w:hAnsi="Arial" w:cs="Arial"/>
                <w:color w:val="000000"/>
                <w:sz w:val="16"/>
                <w:szCs w:val="16"/>
                <w:lang w:eastAsia="it-IT"/>
              </w:rPr>
              <w:t>3</w:t>
            </w:r>
          </w:p>
        </w:tc>
        <w:tc>
          <w:tcPr>
            <w:tcW w:w="1871" w:type="dxa"/>
            <w:tcBorders>
              <w:top w:val="nil"/>
              <w:left w:val="nil"/>
              <w:bottom w:val="single" w:sz="4" w:space="0" w:color="auto"/>
              <w:right w:val="single" w:sz="4" w:space="0" w:color="auto"/>
            </w:tcBorders>
            <w:shd w:val="clear" w:color="000000" w:fill="3366FF"/>
            <w:noWrap/>
            <w:vAlign w:val="bottom"/>
            <w:hideMark/>
          </w:tcPr>
          <w:p w:rsidR="007070E7" w:rsidRPr="00194A2E" w:rsidRDefault="007070E7" w:rsidP="00FE270A">
            <w:pPr>
              <w:jc w:val="center"/>
              <w:rPr>
                <w:rFonts w:ascii="Arial" w:hAnsi="Arial" w:cs="Arial"/>
                <w:color w:val="000000"/>
                <w:sz w:val="16"/>
                <w:szCs w:val="16"/>
                <w:lang w:eastAsia="it-IT"/>
              </w:rPr>
            </w:pPr>
            <w:r>
              <w:rPr>
                <w:rFonts w:ascii="Arial" w:hAnsi="Arial" w:cs="Arial"/>
                <w:color w:val="000000"/>
                <w:sz w:val="16"/>
                <w:szCs w:val="16"/>
                <w:lang w:eastAsia="it-IT"/>
              </w:rPr>
              <w:t>267</w:t>
            </w:r>
          </w:p>
        </w:tc>
        <w:tc>
          <w:tcPr>
            <w:tcW w:w="2004" w:type="dxa"/>
            <w:tcBorders>
              <w:top w:val="nil"/>
              <w:left w:val="nil"/>
              <w:bottom w:val="single" w:sz="4" w:space="0" w:color="auto"/>
              <w:right w:val="single" w:sz="4" w:space="0" w:color="auto"/>
            </w:tcBorders>
            <w:shd w:val="clear" w:color="000000" w:fill="3366FF"/>
            <w:noWrap/>
            <w:vAlign w:val="bottom"/>
            <w:hideMark/>
          </w:tcPr>
          <w:p w:rsidR="007070E7" w:rsidRPr="00194A2E" w:rsidRDefault="007070E7" w:rsidP="00FE270A">
            <w:pPr>
              <w:jc w:val="center"/>
              <w:rPr>
                <w:rFonts w:ascii="Arial" w:hAnsi="Arial" w:cs="Arial"/>
                <w:color w:val="000000"/>
                <w:sz w:val="16"/>
                <w:szCs w:val="16"/>
                <w:lang w:eastAsia="it-IT"/>
              </w:rPr>
            </w:pPr>
            <w:r>
              <w:rPr>
                <w:rFonts w:ascii="Arial" w:hAnsi="Arial" w:cs="Arial"/>
                <w:color w:val="000000"/>
                <w:sz w:val="16"/>
                <w:szCs w:val="16"/>
                <w:lang w:eastAsia="it-IT"/>
              </w:rPr>
              <w:t>30</w:t>
            </w:r>
          </w:p>
        </w:tc>
      </w:tr>
      <w:tr w:rsidR="007070E7" w:rsidRPr="00A21A84" w:rsidTr="0039041A">
        <w:trPr>
          <w:trHeight w:val="268"/>
        </w:trPr>
        <w:tc>
          <w:tcPr>
            <w:tcW w:w="1147" w:type="dxa"/>
            <w:vMerge/>
            <w:tcBorders>
              <w:top w:val="nil"/>
              <w:left w:val="single" w:sz="8" w:space="0" w:color="auto"/>
              <w:bottom w:val="single" w:sz="8" w:space="0" w:color="000000"/>
              <w:right w:val="single" w:sz="4" w:space="0" w:color="auto"/>
            </w:tcBorders>
            <w:vAlign w:val="center"/>
            <w:hideMark/>
          </w:tcPr>
          <w:p w:rsidR="007070E7" w:rsidRPr="00714B94" w:rsidRDefault="007070E7" w:rsidP="00FE270A">
            <w:pPr>
              <w:rPr>
                <w:rFonts w:ascii="Arial" w:hAnsi="Arial" w:cs="Arial"/>
                <w:sz w:val="16"/>
                <w:szCs w:val="16"/>
                <w:highlight w:val="yellow"/>
                <w:lang w:eastAsia="it-IT"/>
              </w:rPr>
            </w:pPr>
          </w:p>
        </w:tc>
        <w:tc>
          <w:tcPr>
            <w:tcW w:w="1620" w:type="dxa"/>
            <w:gridSpan w:val="2"/>
            <w:vMerge/>
            <w:tcBorders>
              <w:top w:val="single" w:sz="8" w:space="0" w:color="auto"/>
              <w:left w:val="single" w:sz="8" w:space="0" w:color="auto"/>
              <w:bottom w:val="single" w:sz="8" w:space="0" w:color="000000"/>
              <w:right w:val="single" w:sz="4" w:space="0" w:color="000000"/>
            </w:tcBorders>
            <w:vAlign w:val="center"/>
            <w:hideMark/>
          </w:tcPr>
          <w:p w:rsidR="007070E7" w:rsidRPr="00714B94" w:rsidRDefault="007070E7" w:rsidP="00FE270A">
            <w:pPr>
              <w:rPr>
                <w:rFonts w:ascii="Arial" w:hAnsi="Arial" w:cs="Arial"/>
                <w:b/>
                <w:bCs/>
                <w:sz w:val="16"/>
                <w:szCs w:val="16"/>
                <w:highlight w:val="yellow"/>
                <w:lang w:eastAsia="it-IT"/>
              </w:rPr>
            </w:pPr>
          </w:p>
        </w:tc>
        <w:tc>
          <w:tcPr>
            <w:tcW w:w="879" w:type="dxa"/>
            <w:tcBorders>
              <w:top w:val="nil"/>
              <w:left w:val="nil"/>
              <w:bottom w:val="single" w:sz="8" w:space="0" w:color="auto"/>
              <w:right w:val="single" w:sz="4" w:space="0" w:color="auto"/>
            </w:tcBorders>
            <w:shd w:val="clear" w:color="000000" w:fill="3366FF"/>
            <w:noWrap/>
            <w:vAlign w:val="bottom"/>
            <w:hideMark/>
          </w:tcPr>
          <w:p w:rsidR="007070E7" w:rsidRPr="00A21A84" w:rsidRDefault="007070E7" w:rsidP="00FE270A">
            <w:pPr>
              <w:jc w:val="center"/>
              <w:rPr>
                <w:rFonts w:ascii="Arial" w:hAnsi="Arial" w:cs="Arial"/>
                <w:sz w:val="16"/>
                <w:szCs w:val="16"/>
                <w:lang w:eastAsia="it-IT"/>
              </w:rPr>
            </w:pPr>
            <w:r w:rsidRPr="00194A2E">
              <w:rPr>
                <w:rFonts w:ascii="Arial" w:hAnsi="Arial" w:cs="Arial"/>
                <w:sz w:val="16"/>
                <w:szCs w:val="16"/>
                <w:lang w:eastAsia="it-IT"/>
              </w:rPr>
              <w:t>%</w:t>
            </w:r>
          </w:p>
        </w:tc>
        <w:tc>
          <w:tcPr>
            <w:tcW w:w="2159" w:type="dxa"/>
            <w:tcBorders>
              <w:top w:val="nil"/>
              <w:left w:val="nil"/>
              <w:bottom w:val="single" w:sz="8" w:space="0" w:color="auto"/>
              <w:right w:val="single" w:sz="4" w:space="0" w:color="auto"/>
            </w:tcBorders>
            <w:shd w:val="clear" w:color="000000" w:fill="3366FF"/>
            <w:noWrap/>
            <w:vAlign w:val="bottom"/>
            <w:hideMark/>
          </w:tcPr>
          <w:p w:rsidR="007070E7" w:rsidRPr="00A21A84" w:rsidRDefault="007070E7" w:rsidP="00FE270A">
            <w:pPr>
              <w:jc w:val="center"/>
              <w:rPr>
                <w:rFonts w:ascii="Arial" w:hAnsi="Arial" w:cs="Arial"/>
                <w:color w:val="000000"/>
                <w:sz w:val="16"/>
                <w:szCs w:val="16"/>
                <w:lang w:eastAsia="it-IT"/>
              </w:rPr>
            </w:pPr>
            <w:r>
              <w:rPr>
                <w:rFonts w:ascii="Arial" w:hAnsi="Arial" w:cs="Arial"/>
                <w:color w:val="000000"/>
                <w:sz w:val="16"/>
                <w:szCs w:val="16"/>
                <w:lang w:eastAsia="it-IT"/>
              </w:rPr>
              <w:t>1,00%</w:t>
            </w:r>
          </w:p>
        </w:tc>
        <w:tc>
          <w:tcPr>
            <w:tcW w:w="1871" w:type="dxa"/>
            <w:tcBorders>
              <w:top w:val="nil"/>
              <w:left w:val="nil"/>
              <w:bottom w:val="single" w:sz="8" w:space="0" w:color="auto"/>
              <w:right w:val="single" w:sz="4" w:space="0" w:color="auto"/>
            </w:tcBorders>
            <w:shd w:val="clear" w:color="000000" w:fill="3366FF"/>
            <w:noWrap/>
            <w:vAlign w:val="bottom"/>
            <w:hideMark/>
          </w:tcPr>
          <w:p w:rsidR="007070E7" w:rsidRPr="00A21A84" w:rsidRDefault="007070E7" w:rsidP="00FE270A">
            <w:pPr>
              <w:jc w:val="center"/>
              <w:rPr>
                <w:rFonts w:ascii="Arial" w:hAnsi="Arial" w:cs="Arial"/>
                <w:color w:val="000000"/>
                <w:sz w:val="16"/>
                <w:szCs w:val="16"/>
                <w:lang w:eastAsia="it-IT"/>
              </w:rPr>
            </w:pPr>
            <w:r>
              <w:rPr>
                <w:rFonts w:ascii="Arial" w:hAnsi="Arial" w:cs="Arial"/>
                <w:color w:val="000000"/>
                <w:sz w:val="16"/>
                <w:szCs w:val="16"/>
                <w:lang w:eastAsia="it-IT"/>
              </w:rPr>
              <w:t>89,00%</w:t>
            </w:r>
          </w:p>
        </w:tc>
        <w:tc>
          <w:tcPr>
            <w:tcW w:w="2004" w:type="dxa"/>
            <w:tcBorders>
              <w:top w:val="nil"/>
              <w:left w:val="nil"/>
              <w:bottom w:val="single" w:sz="8" w:space="0" w:color="auto"/>
              <w:right w:val="single" w:sz="4" w:space="0" w:color="auto"/>
            </w:tcBorders>
            <w:shd w:val="clear" w:color="000000" w:fill="3366FF"/>
            <w:noWrap/>
            <w:vAlign w:val="bottom"/>
            <w:hideMark/>
          </w:tcPr>
          <w:p w:rsidR="007070E7" w:rsidRPr="00A21A84" w:rsidRDefault="007070E7" w:rsidP="00FE270A">
            <w:pPr>
              <w:jc w:val="center"/>
              <w:rPr>
                <w:rFonts w:ascii="Arial" w:hAnsi="Arial" w:cs="Arial"/>
                <w:color w:val="000000"/>
                <w:sz w:val="16"/>
                <w:szCs w:val="16"/>
                <w:lang w:eastAsia="it-IT"/>
              </w:rPr>
            </w:pPr>
            <w:r>
              <w:rPr>
                <w:rFonts w:ascii="Arial" w:hAnsi="Arial" w:cs="Arial"/>
                <w:color w:val="000000"/>
                <w:sz w:val="16"/>
                <w:szCs w:val="16"/>
                <w:lang w:eastAsia="it-IT"/>
              </w:rPr>
              <w:t>10,00%</w:t>
            </w:r>
          </w:p>
        </w:tc>
      </w:tr>
    </w:tbl>
    <w:p w:rsidR="007070E7" w:rsidRDefault="007070E7" w:rsidP="007070E7">
      <w:pPr>
        <w:spacing w:line="360" w:lineRule="auto"/>
        <w:ind w:right="141"/>
        <w:jc w:val="both"/>
      </w:pPr>
    </w:p>
    <w:p w:rsidR="00E6628E" w:rsidRPr="002C5959" w:rsidRDefault="00E6628E" w:rsidP="002C5959">
      <w:pPr>
        <w:spacing w:line="360" w:lineRule="auto"/>
        <w:ind w:right="567"/>
        <w:jc w:val="both"/>
        <w:rPr>
          <w:b/>
          <w:i/>
        </w:rPr>
      </w:pPr>
      <w:r w:rsidRPr="000721D3">
        <w:rPr>
          <w:b/>
          <w:i/>
        </w:rPr>
        <w:lastRenderedPageBreak/>
        <w:t xml:space="preserve">Tab. </w:t>
      </w:r>
      <w:r>
        <w:rPr>
          <w:b/>
          <w:i/>
        </w:rPr>
        <w:t>4</w:t>
      </w:r>
      <w:r w:rsidRPr="000721D3">
        <w:rPr>
          <w:b/>
          <w:i/>
        </w:rPr>
        <w:t>)</w:t>
      </w:r>
    </w:p>
    <w:tbl>
      <w:tblPr>
        <w:tblW w:w="10057" w:type="dxa"/>
        <w:tblInd w:w="55" w:type="dxa"/>
        <w:tblCellMar>
          <w:left w:w="70" w:type="dxa"/>
          <w:right w:w="70" w:type="dxa"/>
        </w:tblCellMar>
        <w:tblLook w:val="04A0"/>
      </w:tblPr>
      <w:tblGrid>
        <w:gridCol w:w="1291"/>
        <w:gridCol w:w="1339"/>
        <w:gridCol w:w="1061"/>
        <w:gridCol w:w="1002"/>
        <w:gridCol w:w="1701"/>
        <w:gridCol w:w="1491"/>
        <w:gridCol w:w="1060"/>
        <w:gridCol w:w="1112"/>
      </w:tblGrid>
      <w:tr w:rsidR="00E6628E" w:rsidRPr="00BF5CE5" w:rsidTr="00563141">
        <w:trPr>
          <w:trHeight w:val="491"/>
        </w:trPr>
        <w:tc>
          <w:tcPr>
            <w:tcW w:w="1291" w:type="dxa"/>
            <w:tcBorders>
              <w:top w:val="single" w:sz="8" w:space="0" w:color="auto"/>
              <w:left w:val="single" w:sz="8" w:space="0" w:color="auto"/>
              <w:bottom w:val="single" w:sz="4" w:space="0" w:color="auto"/>
              <w:right w:val="nil"/>
            </w:tcBorders>
            <w:shd w:val="clear" w:color="auto" w:fill="auto"/>
            <w:vAlign w:val="center"/>
            <w:hideMark/>
          </w:tcPr>
          <w:p w:rsidR="00E6628E" w:rsidRPr="00BF5CE5" w:rsidRDefault="00E6628E" w:rsidP="00563141">
            <w:pPr>
              <w:jc w:val="center"/>
              <w:rPr>
                <w:rFonts w:ascii="Arial" w:hAnsi="Arial" w:cs="Arial"/>
                <w:sz w:val="16"/>
                <w:szCs w:val="16"/>
                <w:lang w:eastAsia="it-IT"/>
              </w:rPr>
            </w:pPr>
            <w:r w:rsidRPr="00BF5CE5">
              <w:rPr>
                <w:rFonts w:ascii="Arial" w:hAnsi="Arial" w:cs="Arial"/>
                <w:sz w:val="16"/>
                <w:szCs w:val="16"/>
                <w:lang w:eastAsia="it-IT"/>
              </w:rPr>
              <w:t>tot. dipendenti valutati nel 2021</w:t>
            </w:r>
          </w:p>
        </w:tc>
        <w:tc>
          <w:tcPr>
            <w:tcW w:w="1339" w:type="dxa"/>
            <w:tcBorders>
              <w:top w:val="single" w:sz="8" w:space="0" w:color="auto"/>
              <w:left w:val="single" w:sz="8" w:space="0" w:color="auto"/>
              <w:bottom w:val="nil"/>
              <w:right w:val="nil"/>
            </w:tcBorders>
            <w:shd w:val="clear" w:color="auto" w:fill="auto"/>
            <w:vAlign w:val="center"/>
            <w:hideMark/>
          </w:tcPr>
          <w:p w:rsidR="00E6628E" w:rsidRPr="00BF5CE5" w:rsidRDefault="00E6628E" w:rsidP="00563141">
            <w:pPr>
              <w:jc w:val="center"/>
              <w:rPr>
                <w:rFonts w:ascii="Arial" w:hAnsi="Arial" w:cs="Arial"/>
                <w:sz w:val="16"/>
                <w:szCs w:val="16"/>
                <w:lang w:eastAsia="it-IT"/>
              </w:rPr>
            </w:pPr>
            <w:r w:rsidRPr="00BF5CE5">
              <w:rPr>
                <w:rFonts w:ascii="Arial" w:hAnsi="Arial" w:cs="Arial"/>
                <w:sz w:val="16"/>
                <w:szCs w:val="16"/>
                <w:lang w:eastAsia="it-IT"/>
              </w:rPr>
              <w:t> </w:t>
            </w:r>
          </w:p>
        </w:tc>
        <w:tc>
          <w:tcPr>
            <w:tcW w:w="1061" w:type="dxa"/>
            <w:tcBorders>
              <w:top w:val="single" w:sz="8" w:space="0" w:color="auto"/>
              <w:left w:val="single" w:sz="4" w:space="0" w:color="auto"/>
              <w:bottom w:val="nil"/>
              <w:right w:val="nil"/>
            </w:tcBorders>
            <w:shd w:val="clear" w:color="auto" w:fill="auto"/>
            <w:vAlign w:val="center"/>
            <w:hideMark/>
          </w:tcPr>
          <w:p w:rsidR="00E6628E" w:rsidRPr="00BF5CE5" w:rsidRDefault="00E6628E" w:rsidP="00563141">
            <w:pPr>
              <w:jc w:val="center"/>
              <w:rPr>
                <w:rFonts w:ascii="Arial" w:hAnsi="Arial" w:cs="Arial"/>
                <w:sz w:val="16"/>
                <w:szCs w:val="16"/>
                <w:lang w:eastAsia="it-IT"/>
              </w:rPr>
            </w:pPr>
            <w:r w:rsidRPr="00BF5CE5">
              <w:rPr>
                <w:rFonts w:ascii="Arial" w:hAnsi="Arial" w:cs="Arial"/>
                <w:sz w:val="16"/>
                <w:szCs w:val="16"/>
                <w:lang w:eastAsia="it-IT"/>
              </w:rPr>
              <w:t> </w:t>
            </w:r>
          </w:p>
        </w:tc>
        <w:tc>
          <w:tcPr>
            <w:tcW w:w="6366"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E6628E" w:rsidRPr="00BF5CE5" w:rsidRDefault="00E6628E" w:rsidP="00563141">
            <w:pPr>
              <w:jc w:val="center"/>
              <w:rPr>
                <w:rFonts w:ascii="Arial" w:hAnsi="Arial" w:cs="Arial"/>
                <w:sz w:val="16"/>
                <w:szCs w:val="16"/>
                <w:lang w:eastAsia="it-IT"/>
              </w:rPr>
            </w:pPr>
            <w:r w:rsidRPr="00BF5CE5">
              <w:rPr>
                <w:rFonts w:ascii="Arial" w:hAnsi="Arial" w:cs="Arial"/>
                <w:sz w:val="16"/>
                <w:szCs w:val="16"/>
                <w:lang w:eastAsia="it-IT"/>
              </w:rPr>
              <w:t>FASCE DI VALUTAZIONE</w:t>
            </w:r>
          </w:p>
        </w:tc>
      </w:tr>
      <w:tr w:rsidR="00E6628E" w:rsidRPr="00BF5CE5" w:rsidTr="00563141">
        <w:trPr>
          <w:trHeight w:val="729"/>
        </w:trPr>
        <w:tc>
          <w:tcPr>
            <w:tcW w:w="1291"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E6628E" w:rsidRPr="00BF5CE5" w:rsidRDefault="00E6628E" w:rsidP="00563141">
            <w:pPr>
              <w:jc w:val="center"/>
              <w:rPr>
                <w:rFonts w:ascii="Arial" w:hAnsi="Arial" w:cs="Arial"/>
                <w:sz w:val="16"/>
                <w:szCs w:val="16"/>
                <w:lang w:eastAsia="it-IT"/>
              </w:rPr>
            </w:pPr>
            <w:r w:rsidRPr="00BF5CE5">
              <w:rPr>
                <w:rFonts w:ascii="Arial" w:hAnsi="Arial" w:cs="Arial"/>
                <w:sz w:val="16"/>
                <w:szCs w:val="16"/>
                <w:lang w:eastAsia="it-IT"/>
              </w:rPr>
              <w:t>288</w:t>
            </w:r>
          </w:p>
        </w:tc>
        <w:tc>
          <w:tcPr>
            <w:tcW w:w="1339" w:type="dxa"/>
            <w:tcBorders>
              <w:top w:val="single" w:sz="4" w:space="0" w:color="auto"/>
              <w:left w:val="single" w:sz="8" w:space="0" w:color="auto"/>
              <w:bottom w:val="nil"/>
              <w:right w:val="single" w:sz="4" w:space="0" w:color="auto"/>
            </w:tcBorders>
            <w:shd w:val="clear" w:color="auto" w:fill="auto"/>
            <w:noWrap/>
            <w:vAlign w:val="center"/>
            <w:hideMark/>
          </w:tcPr>
          <w:p w:rsidR="00E6628E" w:rsidRPr="00BF5CE5" w:rsidRDefault="00E6628E" w:rsidP="00563141">
            <w:pPr>
              <w:jc w:val="center"/>
              <w:rPr>
                <w:rFonts w:ascii="Arial" w:hAnsi="Arial" w:cs="Arial"/>
                <w:sz w:val="16"/>
                <w:szCs w:val="16"/>
                <w:lang w:eastAsia="it-IT"/>
              </w:rPr>
            </w:pPr>
            <w:r w:rsidRPr="00BF5CE5">
              <w:rPr>
                <w:rFonts w:ascii="Arial" w:hAnsi="Arial" w:cs="Arial"/>
                <w:sz w:val="16"/>
                <w:szCs w:val="16"/>
                <w:lang w:eastAsia="it-IT"/>
              </w:rPr>
              <w:t>cat.</w:t>
            </w:r>
          </w:p>
        </w:tc>
        <w:tc>
          <w:tcPr>
            <w:tcW w:w="1061" w:type="dxa"/>
            <w:tcBorders>
              <w:top w:val="single" w:sz="4" w:space="0" w:color="auto"/>
              <w:left w:val="nil"/>
              <w:bottom w:val="nil"/>
              <w:right w:val="single" w:sz="4" w:space="0" w:color="auto"/>
            </w:tcBorders>
            <w:shd w:val="clear" w:color="auto" w:fill="auto"/>
            <w:vAlign w:val="center"/>
            <w:hideMark/>
          </w:tcPr>
          <w:p w:rsidR="00E6628E" w:rsidRPr="00BF5CE5" w:rsidRDefault="00E6628E" w:rsidP="00563141">
            <w:pPr>
              <w:rPr>
                <w:rFonts w:ascii="Arial" w:hAnsi="Arial" w:cs="Arial"/>
                <w:sz w:val="16"/>
                <w:szCs w:val="16"/>
                <w:lang w:eastAsia="it-IT"/>
              </w:rPr>
            </w:pPr>
            <w:r w:rsidRPr="00BF5CE5">
              <w:rPr>
                <w:rFonts w:ascii="Arial" w:hAnsi="Arial" w:cs="Arial"/>
                <w:sz w:val="16"/>
                <w:szCs w:val="16"/>
                <w:lang w:eastAsia="it-IT"/>
              </w:rPr>
              <w:t xml:space="preserve">n.dipendenti per categoria  </w:t>
            </w:r>
          </w:p>
        </w:tc>
        <w:tc>
          <w:tcPr>
            <w:tcW w:w="1002" w:type="dxa"/>
            <w:tcBorders>
              <w:top w:val="nil"/>
              <w:left w:val="nil"/>
              <w:bottom w:val="nil"/>
              <w:right w:val="single" w:sz="4" w:space="0" w:color="auto"/>
            </w:tcBorders>
            <w:shd w:val="clear" w:color="auto" w:fill="auto"/>
            <w:noWrap/>
            <w:vAlign w:val="bottom"/>
            <w:hideMark/>
          </w:tcPr>
          <w:p w:rsidR="00E6628E" w:rsidRPr="00BF5CE5" w:rsidRDefault="00E6628E" w:rsidP="00563141">
            <w:pPr>
              <w:jc w:val="center"/>
              <w:rPr>
                <w:rFonts w:ascii="Arial" w:hAnsi="Arial" w:cs="Arial"/>
                <w:sz w:val="16"/>
                <w:szCs w:val="16"/>
                <w:lang w:eastAsia="it-IT"/>
              </w:rPr>
            </w:pPr>
            <w:r w:rsidRPr="00BF5CE5">
              <w:rPr>
                <w:rFonts w:ascii="Arial" w:hAnsi="Arial" w:cs="Arial"/>
                <w:sz w:val="16"/>
                <w:szCs w:val="16"/>
                <w:lang w:eastAsia="it-IT"/>
              </w:rPr>
              <w:t> </w:t>
            </w:r>
          </w:p>
        </w:tc>
        <w:tc>
          <w:tcPr>
            <w:tcW w:w="1701" w:type="dxa"/>
            <w:tcBorders>
              <w:top w:val="nil"/>
              <w:left w:val="nil"/>
              <w:bottom w:val="single" w:sz="4" w:space="0" w:color="auto"/>
              <w:right w:val="single" w:sz="4" w:space="0" w:color="auto"/>
            </w:tcBorders>
            <w:shd w:val="clear" w:color="auto" w:fill="auto"/>
            <w:noWrap/>
            <w:vAlign w:val="center"/>
            <w:hideMark/>
          </w:tcPr>
          <w:p w:rsidR="00E6628E" w:rsidRPr="00BF5CE5" w:rsidRDefault="00E6628E" w:rsidP="00563141">
            <w:pPr>
              <w:jc w:val="center"/>
              <w:rPr>
                <w:rFonts w:ascii="Arial" w:hAnsi="Arial" w:cs="Arial"/>
                <w:b/>
                <w:bCs/>
                <w:color w:val="000000"/>
                <w:sz w:val="16"/>
                <w:szCs w:val="16"/>
                <w:lang w:eastAsia="it-IT"/>
              </w:rPr>
            </w:pPr>
            <w:r w:rsidRPr="00BF5CE5">
              <w:rPr>
                <w:rFonts w:ascii="Arial" w:hAnsi="Arial" w:cs="Arial"/>
                <w:b/>
                <w:bCs/>
                <w:color w:val="000000"/>
                <w:sz w:val="16"/>
                <w:szCs w:val="16"/>
                <w:lang w:eastAsia="it-IT"/>
              </w:rPr>
              <w:t>Non conforme</w:t>
            </w:r>
          </w:p>
        </w:tc>
        <w:tc>
          <w:tcPr>
            <w:tcW w:w="1491" w:type="dxa"/>
            <w:tcBorders>
              <w:top w:val="nil"/>
              <w:left w:val="nil"/>
              <w:bottom w:val="nil"/>
              <w:right w:val="single" w:sz="4" w:space="0" w:color="auto"/>
            </w:tcBorders>
            <w:shd w:val="clear" w:color="auto" w:fill="auto"/>
            <w:noWrap/>
            <w:vAlign w:val="center"/>
            <w:hideMark/>
          </w:tcPr>
          <w:p w:rsidR="00E6628E" w:rsidRPr="00BF5CE5" w:rsidRDefault="00E6628E" w:rsidP="00563141">
            <w:pPr>
              <w:jc w:val="center"/>
              <w:rPr>
                <w:rFonts w:ascii="Arial" w:hAnsi="Arial" w:cs="Arial"/>
                <w:b/>
                <w:color w:val="000000"/>
                <w:sz w:val="16"/>
                <w:szCs w:val="16"/>
                <w:lang w:eastAsia="it-IT"/>
              </w:rPr>
            </w:pPr>
            <w:r w:rsidRPr="00BF5CE5">
              <w:rPr>
                <w:rFonts w:ascii="Arial" w:hAnsi="Arial" w:cs="Arial"/>
                <w:b/>
                <w:color w:val="000000"/>
                <w:sz w:val="16"/>
                <w:szCs w:val="16"/>
                <w:lang w:eastAsia="it-IT"/>
              </w:rPr>
              <w:t>Migliorabile</w:t>
            </w:r>
          </w:p>
        </w:tc>
        <w:tc>
          <w:tcPr>
            <w:tcW w:w="1060" w:type="dxa"/>
            <w:tcBorders>
              <w:top w:val="nil"/>
              <w:left w:val="nil"/>
              <w:bottom w:val="nil"/>
              <w:right w:val="single" w:sz="4" w:space="0" w:color="auto"/>
            </w:tcBorders>
            <w:shd w:val="clear" w:color="auto" w:fill="auto"/>
            <w:noWrap/>
            <w:vAlign w:val="center"/>
            <w:hideMark/>
          </w:tcPr>
          <w:p w:rsidR="00E6628E" w:rsidRPr="00BF5CE5" w:rsidRDefault="00E6628E" w:rsidP="00563141">
            <w:pPr>
              <w:jc w:val="center"/>
              <w:rPr>
                <w:rFonts w:ascii="Arial" w:hAnsi="Arial" w:cs="Arial"/>
                <w:b/>
                <w:color w:val="000000"/>
                <w:sz w:val="16"/>
                <w:szCs w:val="16"/>
                <w:lang w:eastAsia="it-IT"/>
              </w:rPr>
            </w:pPr>
            <w:r w:rsidRPr="00BF5CE5">
              <w:rPr>
                <w:rFonts w:ascii="Arial" w:hAnsi="Arial" w:cs="Arial"/>
                <w:b/>
                <w:color w:val="000000"/>
                <w:sz w:val="16"/>
                <w:szCs w:val="16"/>
                <w:lang w:eastAsia="it-IT"/>
              </w:rPr>
              <w:t>Conforme</w:t>
            </w:r>
          </w:p>
        </w:tc>
        <w:tc>
          <w:tcPr>
            <w:tcW w:w="1112" w:type="dxa"/>
            <w:tcBorders>
              <w:top w:val="nil"/>
              <w:left w:val="nil"/>
              <w:bottom w:val="nil"/>
              <w:right w:val="single" w:sz="8" w:space="0" w:color="auto"/>
            </w:tcBorders>
            <w:shd w:val="clear" w:color="auto" w:fill="auto"/>
            <w:noWrap/>
            <w:vAlign w:val="center"/>
            <w:hideMark/>
          </w:tcPr>
          <w:p w:rsidR="00E6628E" w:rsidRPr="00BF5CE5" w:rsidRDefault="00E6628E" w:rsidP="00563141">
            <w:pPr>
              <w:jc w:val="center"/>
              <w:rPr>
                <w:rFonts w:ascii="Arial" w:hAnsi="Arial" w:cs="Arial"/>
                <w:b/>
                <w:color w:val="000000"/>
                <w:sz w:val="16"/>
                <w:szCs w:val="16"/>
                <w:lang w:eastAsia="it-IT"/>
              </w:rPr>
            </w:pPr>
            <w:r w:rsidRPr="00BF5CE5">
              <w:rPr>
                <w:rFonts w:ascii="Arial" w:hAnsi="Arial" w:cs="Arial"/>
                <w:b/>
                <w:color w:val="000000"/>
                <w:sz w:val="16"/>
                <w:szCs w:val="16"/>
                <w:lang w:eastAsia="it-IT"/>
              </w:rPr>
              <w:t>Eccellente</w:t>
            </w:r>
          </w:p>
        </w:tc>
      </w:tr>
      <w:tr w:rsidR="00E6628E" w:rsidRPr="00BF5CE5" w:rsidTr="00563141">
        <w:trPr>
          <w:trHeight w:val="269"/>
        </w:trPr>
        <w:tc>
          <w:tcPr>
            <w:tcW w:w="1291" w:type="dxa"/>
            <w:vMerge/>
            <w:tcBorders>
              <w:top w:val="nil"/>
              <w:left w:val="single" w:sz="8" w:space="0" w:color="auto"/>
              <w:bottom w:val="single" w:sz="8" w:space="0" w:color="000000"/>
              <w:right w:val="single" w:sz="4" w:space="0" w:color="auto"/>
            </w:tcBorders>
            <w:vAlign w:val="center"/>
            <w:hideMark/>
          </w:tcPr>
          <w:p w:rsidR="00E6628E" w:rsidRPr="00BF5CE5" w:rsidRDefault="00E6628E" w:rsidP="00563141">
            <w:pPr>
              <w:rPr>
                <w:rFonts w:ascii="Arial" w:hAnsi="Arial" w:cs="Arial"/>
                <w:sz w:val="16"/>
                <w:szCs w:val="16"/>
                <w:lang w:eastAsia="it-IT"/>
              </w:rPr>
            </w:pPr>
          </w:p>
        </w:tc>
        <w:tc>
          <w:tcPr>
            <w:tcW w:w="1339" w:type="dxa"/>
            <w:vMerge w:val="restart"/>
            <w:tcBorders>
              <w:top w:val="single" w:sz="8" w:space="0" w:color="auto"/>
              <w:left w:val="single" w:sz="8" w:space="0" w:color="auto"/>
              <w:bottom w:val="single" w:sz="8" w:space="0" w:color="000000"/>
              <w:right w:val="single" w:sz="4" w:space="0" w:color="auto"/>
            </w:tcBorders>
            <w:shd w:val="clear" w:color="000000" w:fill="CCECFF"/>
            <w:noWrap/>
            <w:vAlign w:val="center"/>
            <w:hideMark/>
          </w:tcPr>
          <w:p w:rsidR="00E6628E" w:rsidRPr="00BF5CE5" w:rsidRDefault="00E6628E" w:rsidP="00563141">
            <w:pPr>
              <w:jc w:val="center"/>
              <w:rPr>
                <w:rFonts w:ascii="Arial" w:hAnsi="Arial" w:cs="Arial"/>
                <w:sz w:val="16"/>
                <w:szCs w:val="16"/>
                <w:lang w:eastAsia="it-IT"/>
              </w:rPr>
            </w:pPr>
            <w:r w:rsidRPr="00BF5CE5">
              <w:rPr>
                <w:rFonts w:ascii="Arial" w:hAnsi="Arial" w:cs="Arial"/>
                <w:sz w:val="16"/>
                <w:szCs w:val="16"/>
                <w:lang w:eastAsia="it-IT"/>
              </w:rPr>
              <w:t>B</w:t>
            </w:r>
          </w:p>
        </w:tc>
        <w:tc>
          <w:tcPr>
            <w:tcW w:w="1061" w:type="dxa"/>
            <w:vMerge w:val="restart"/>
            <w:tcBorders>
              <w:top w:val="single" w:sz="8" w:space="0" w:color="auto"/>
              <w:left w:val="single" w:sz="4" w:space="0" w:color="auto"/>
              <w:bottom w:val="single" w:sz="8" w:space="0" w:color="000000"/>
              <w:right w:val="single" w:sz="4" w:space="0" w:color="auto"/>
            </w:tcBorders>
            <w:shd w:val="clear" w:color="000000" w:fill="CCECFF"/>
            <w:noWrap/>
            <w:vAlign w:val="center"/>
            <w:hideMark/>
          </w:tcPr>
          <w:p w:rsidR="00E6628E" w:rsidRPr="00BF5CE5" w:rsidRDefault="00E6628E" w:rsidP="00563141">
            <w:pPr>
              <w:jc w:val="center"/>
              <w:rPr>
                <w:rFonts w:ascii="Arial" w:hAnsi="Arial" w:cs="Arial"/>
                <w:sz w:val="16"/>
                <w:szCs w:val="16"/>
                <w:lang w:eastAsia="it-IT"/>
              </w:rPr>
            </w:pPr>
            <w:r w:rsidRPr="00BF5CE5">
              <w:rPr>
                <w:rFonts w:ascii="Arial" w:hAnsi="Arial" w:cs="Arial"/>
                <w:sz w:val="16"/>
                <w:szCs w:val="16"/>
                <w:lang w:eastAsia="it-IT"/>
              </w:rPr>
              <w:t>73</w:t>
            </w:r>
          </w:p>
        </w:tc>
        <w:tc>
          <w:tcPr>
            <w:tcW w:w="1002" w:type="dxa"/>
            <w:tcBorders>
              <w:top w:val="single" w:sz="8" w:space="0" w:color="auto"/>
              <w:left w:val="nil"/>
              <w:bottom w:val="single" w:sz="4" w:space="0" w:color="auto"/>
              <w:right w:val="single" w:sz="4" w:space="0" w:color="auto"/>
            </w:tcBorders>
            <w:shd w:val="clear" w:color="000000" w:fill="CCECFF"/>
            <w:noWrap/>
            <w:vAlign w:val="bottom"/>
            <w:hideMark/>
          </w:tcPr>
          <w:p w:rsidR="00E6628E" w:rsidRPr="00BF5CE5" w:rsidRDefault="00E6628E" w:rsidP="00563141">
            <w:pPr>
              <w:jc w:val="center"/>
              <w:rPr>
                <w:rFonts w:ascii="Arial" w:hAnsi="Arial" w:cs="Arial"/>
                <w:sz w:val="16"/>
                <w:szCs w:val="16"/>
                <w:lang w:eastAsia="it-IT"/>
              </w:rPr>
            </w:pPr>
            <w:r w:rsidRPr="00BF5CE5">
              <w:rPr>
                <w:rFonts w:ascii="Arial" w:hAnsi="Arial" w:cs="Arial"/>
                <w:sz w:val="16"/>
                <w:szCs w:val="16"/>
                <w:lang w:eastAsia="it-IT"/>
              </w:rPr>
              <w:t>n. dipendenti</w:t>
            </w:r>
          </w:p>
        </w:tc>
        <w:tc>
          <w:tcPr>
            <w:tcW w:w="1701" w:type="dxa"/>
            <w:tcBorders>
              <w:top w:val="nil"/>
              <w:left w:val="nil"/>
              <w:bottom w:val="single" w:sz="4" w:space="0" w:color="auto"/>
              <w:right w:val="single" w:sz="4" w:space="0" w:color="auto"/>
            </w:tcBorders>
            <w:shd w:val="clear" w:color="000000" w:fill="CCECFF"/>
            <w:noWrap/>
            <w:vAlign w:val="bottom"/>
            <w:hideMark/>
          </w:tcPr>
          <w:p w:rsidR="00E6628E" w:rsidRPr="00BF5CE5" w:rsidRDefault="00E6628E" w:rsidP="00563141">
            <w:pPr>
              <w:jc w:val="center"/>
              <w:rPr>
                <w:rFonts w:ascii="Arial" w:hAnsi="Arial" w:cs="Arial"/>
                <w:sz w:val="16"/>
                <w:szCs w:val="16"/>
                <w:lang w:eastAsia="it-IT"/>
              </w:rPr>
            </w:pPr>
            <w:r w:rsidRPr="00BF5CE5">
              <w:rPr>
                <w:rFonts w:ascii="Arial" w:hAnsi="Arial" w:cs="Arial"/>
                <w:sz w:val="16"/>
                <w:szCs w:val="16"/>
                <w:lang w:eastAsia="it-IT"/>
              </w:rPr>
              <w:t>0</w:t>
            </w:r>
          </w:p>
        </w:tc>
        <w:tc>
          <w:tcPr>
            <w:tcW w:w="1491" w:type="dxa"/>
            <w:tcBorders>
              <w:top w:val="single" w:sz="8" w:space="0" w:color="auto"/>
              <w:left w:val="nil"/>
              <w:bottom w:val="single" w:sz="4" w:space="0" w:color="auto"/>
              <w:right w:val="single" w:sz="4" w:space="0" w:color="auto"/>
            </w:tcBorders>
            <w:shd w:val="clear" w:color="000000" w:fill="CCECFF"/>
            <w:noWrap/>
            <w:vAlign w:val="bottom"/>
            <w:hideMark/>
          </w:tcPr>
          <w:p w:rsidR="00E6628E" w:rsidRPr="00BF5CE5" w:rsidRDefault="00E6628E" w:rsidP="00563141">
            <w:pPr>
              <w:jc w:val="center"/>
              <w:rPr>
                <w:rFonts w:ascii="Arial" w:hAnsi="Arial" w:cs="Arial"/>
                <w:sz w:val="16"/>
                <w:szCs w:val="16"/>
                <w:lang w:eastAsia="it-IT"/>
              </w:rPr>
            </w:pPr>
            <w:r w:rsidRPr="00BF5CE5">
              <w:rPr>
                <w:rFonts w:ascii="Arial" w:hAnsi="Arial" w:cs="Arial"/>
                <w:sz w:val="16"/>
                <w:szCs w:val="16"/>
                <w:lang w:eastAsia="it-IT"/>
              </w:rPr>
              <w:t>2</w:t>
            </w:r>
          </w:p>
        </w:tc>
        <w:tc>
          <w:tcPr>
            <w:tcW w:w="1060" w:type="dxa"/>
            <w:tcBorders>
              <w:top w:val="single" w:sz="8" w:space="0" w:color="auto"/>
              <w:left w:val="nil"/>
              <w:bottom w:val="single" w:sz="4" w:space="0" w:color="auto"/>
              <w:right w:val="single" w:sz="4" w:space="0" w:color="auto"/>
            </w:tcBorders>
            <w:shd w:val="clear" w:color="000000" w:fill="CCECFF"/>
            <w:noWrap/>
            <w:vAlign w:val="bottom"/>
            <w:hideMark/>
          </w:tcPr>
          <w:p w:rsidR="00E6628E" w:rsidRPr="00BF5CE5" w:rsidRDefault="00E6628E" w:rsidP="00563141">
            <w:pPr>
              <w:jc w:val="center"/>
              <w:rPr>
                <w:rFonts w:ascii="Arial" w:hAnsi="Arial" w:cs="Arial"/>
                <w:sz w:val="16"/>
                <w:szCs w:val="16"/>
                <w:lang w:eastAsia="it-IT"/>
              </w:rPr>
            </w:pPr>
            <w:r w:rsidRPr="00BF5CE5">
              <w:rPr>
                <w:rFonts w:ascii="Arial" w:hAnsi="Arial" w:cs="Arial"/>
                <w:sz w:val="16"/>
                <w:szCs w:val="16"/>
                <w:lang w:eastAsia="it-IT"/>
              </w:rPr>
              <w:t>68</w:t>
            </w:r>
          </w:p>
        </w:tc>
        <w:tc>
          <w:tcPr>
            <w:tcW w:w="1112" w:type="dxa"/>
            <w:tcBorders>
              <w:top w:val="single" w:sz="8" w:space="0" w:color="auto"/>
              <w:left w:val="nil"/>
              <w:bottom w:val="single" w:sz="4" w:space="0" w:color="auto"/>
              <w:right w:val="single" w:sz="8" w:space="0" w:color="auto"/>
            </w:tcBorders>
            <w:shd w:val="clear" w:color="000000" w:fill="CCECFF"/>
            <w:noWrap/>
            <w:vAlign w:val="bottom"/>
            <w:hideMark/>
          </w:tcPr>
          <w:p w:rsidR="00E6628E" w:rsidRPr="00BF5CE5" w:rsidRDefault="00E6628E" w:rsidP="00563141">
            <w:pPr>
              <w:jc w:val="center"/>
              <w:rPr>
                <w:rFonts w:ascii="Arial" w:hAnsi="Arial" w:cs="Arial"/>
                <w:sz w:val="16"/>
                <w:szCs w:val="16"/>
                <w:lang w:eastAsia="it-IT"/>
              </w:rPr>
            </w:pPr>
            <w:r w:rsidRPr="00BF5CE5">
              <w:rPr>
                <w:rFonts w:ascii="Arial" w:hAnsi="Arial" w:cs="Arial"/>
                <w:sz w:val="16"/>
                <w:szCs w:val="16"/>
                <w:lang w:eastAsia="it-IT"/>
              </w:rPr>
              <w:t>3</w:t>
            </w:r>
          </w:p>
        </w:tc>
      </w:tr>
      <w:tr w:rsidR="00E6628E" w:rsidRPr="00BF5CE5" w:rsidTr="00563141">
        <w:trPr>
          <w:trHeight w:val="285"/>
        </w:trPr>
        <w:tc>
          <w:tcPr>
            <w:tcW w:w="1291" w:type="dxa"/>
            <w:vMerge/>
            <w:tcBorders>
              <w:top w:val="nil"/>
              <w:left w:val="single" w:sz="8" w:space="0" w:color="auto"/>
              <w:bottom w:val="single" w:sz="8" w:space="0" w:color="000000"/>
              <w:right w:val="single" w:sz="4" w:space="0" w:color="auto"/>
            </w:tcBorders>
            <w:vAlign w:val="center"/>
            <w:hideMark/>
          </w:tcPr>
          <w:p w:rsidR="00E6628E" w:rsidRPr="00BF5CE5" w:rsidRDefault="00E6628E" w:rsidP="00563141">
            <w:pPr>
              <w:rPr>
                <w:rFonts w:ascii="Arial" w:hAnsi="Arial" w:cs="Arial"/>
                <w:sz w:val="16"/>
                <w:szCs w:val="16"/>
                <w:lang w:eastAsia="it-IT"/>
              </w:rPr>
            </w:pPr>
          </w:p>
        </w:tc>
        <w:tc>
          <w:tcPr>
            <w:tcW w:w="1339" w:type="dxa"/>
            <w:vMerge/>
            <w:tcBorders>
              <w:top w:val="single" w:sz="8" w:space="0" w:color="auto"/>
              <w:left w:val="single" w:sz="8" w:space="0" w:color="auto"/>
              <w:bottom w:val="single" w:sz="8" w:space="0" w:color="000000"/>
              <w:right w:val="single" w:sz="4" w:space="0" w:color="auto"/>
            </w:tcBorders>
            <w:vAlign w:val="center"/>
            <w:hideMark/>
          </w:tcPr>
          <w:p w:rsidR="00E6628E" w:rsidRPr="00BF5CE5" w:rsidRDefault="00E6628E" w:rsidP="00563141">
            <w:pPr>
              <w:rPr>
                <w:rFonts w:ascii="Arial" w:hAnsi="Arial" w:cs="Arial"/>
                <w:sz w:val="16"/>
                <w:szCs w:val="16"/>
                <w:lang w:eastAsia="it-IT"/>
              </w:rPr>
            </w:pPr>
          </w:p>
        </w:tc>
        <w:tc>
          <w:tcPr>
            <w:tcW w:w="1061" w:type="dxa"/>
            <w:vMerge/>
            <w:tcBorders>
              <w:top w:val="single" w:sz="8" w:space="0" w:color="auto"/>
              <w:left w:val="single" w:sz="4" w:space="0" w:color="auto"/>
              <w:bottom w:val="single" w:sz="8" w:space="0" w:color="000000"/>
              <w:right w:val="single" w:sz="4" w:space="0" w:color="auto"/>
            </w:tcBorders>
            <w:vAlign w:val="center"/>
            <w:hideMark/>
          </w:tcPr>
          <w:p w:rsidR="00E6628E" w:rsidRPr="00BF5CE5" w:rsidRDefault="00E6628E" w:rsidP="00563141">
            <w:pPr>
              <w:rPr>
                <w:rFonts w:ascii="Arial" w:hAnsi="Arial" w:cs="Arial"/>
                <w:sz w:val="16"/>
                <w:szCs w:val="16"/>
                <w:lang w:eastAsia="it-IT"/>
              </w:rPr>
            </w:pPr>
          </w:p>
        </w:tc>
        <w:tc>
          <w:tcPr>
            <w:tcW w:w="1002" w:type="dxa"/>
            <w:tcBorders>
              <w:top w:val="nil"/>
              <w:left w:val="nil"/>
              <w:bottom w:val="single" w:sz="8" w:space="0" w:color="auto"/>
              <w:right w:val="single" w:sz="4" w:space="0" w:color="auto"/>
            </w:tcBorders>
            <w:shd w:val="clear" w:color="000000" w:fill="CCECFF"/>
            <w:noWrap/>
            <w:vAlign w:val="bottom"/>
            <w:hideMark/>
          </w:tcPr>
          <w:p w:rsidR="00E6628E" w:rsidRPr="00BF5CE5" w:rsidRDefault="00E6628E" w:rsidP="00563141">
            <w:pPr>
              <w:jc w:val="center"/>
              <w:rPr>
                <w:rFonts w:ascii="Arial" w:hAnsi="Arial" w:cs="Arial"/>
                <w:sz w:val="16"/>
                <w:szCs w:val="16"/>
                <w:lang w:eastAsia="it-IT"/>
              </w:rPr>
            </w:pPr>
            <w:r w:rsidRPr="00BF5CE5">
              <w:rPr>
                <w:rFonts w:ascii="Arial" w:hAnsi="Arial" w:cs="Arial"/>
                <w:sz w:val="16"/>
                <w:szCs w:val="16"/>
                <w:lang w:eastAsia="it-IT"/>
              </w:rPr>
              <w:t>%</w:t>
            </w:r>
          </w:p>
        </w:tc>
        <w:tc>
          <w:tcPr>
            <w:tcW w:w="1701" w:type="dxa"/>
            <w:tcBorders>
              <w:top w:val="nil"/>
              <w:left w:val="nil"/>
              <w:bottom w:val="single" w:sz="8" w:space="0" w:color="auto"/>
              <w:right w:val="single" w:sz="4" w:space="0" w:color="auto"/>
            </w:tcBorders>
            <w:shd w:val="clear" w:color="000000" w:fill="CCECFF"/>
            <w:noWrap/>
            <w:vAlign w:val="bottom"/>
            <w:hideMark/>
          </w:tcPr>
          <w:p w:rsidR="00E6628E" w:rsidRPr="00BF5CE5" w:rsidRDefault="00E6628E" w:rsidP="00563141">
            <w:pPr>
              <w:jc w:val="center"/>
              <w:rPr>
                <w:rFonts w:ascii="Arial" w:hAnsi="Arial" w:cs="Arial"/>
                <w:color w:val="000000"/>
                <w:sz w:val="16"/>
                <w:szCs w:val="16"/>
                <w:lang w:eastAsia="it-IT"/>
              </w:rPr>
            </w:pPr>
            <w:r w:rsidRPr="00BF5CE5">
              <w:rPr>
                <w:rFonts w:ascii="Arial" w:hAnsi="Arial" w:cs="Arial"/>
                <w:color w:val="000000"/>
                <w:sz w:val="16"/>
                <w:szCs w:val="16"/>
                <w:lang w:eastAsia="it-IT"/>
              </w:rPr>
              <w:t>0,00%</w:t>
            </w:r>
          </w:p>
        </w:tc>
        <w:tc>
          <w:tcPr>
            <w:tcW w:w="1491" w:type="dxa"/>
            <w:tcBorders>
              <w:top w:val="nil"/>
              <w:left w:val="nil"/>
              <w:bottom w:val="single" w:sz="8" w:space="0" w:color="auto"/>
              <w:right w:val="single" w:sz="4" w:space="0" w:color="auto"/>
            </w:tcBorders>
            <w:shd w:val="clear" w:color="000000" w:fill="CCECFF"/>
            <w:noWrap/>
            <w:vAlign w:val="bottom"/>
            <w:hideMark/>
          </w:tcPr>
          <w:p w:rsidR="00E6628E" w:rsidRPr="00BF5CE5" w:rsidRDefault="00E6628E" w:rsidP="00563141">
            <w:pPr>
              <w:jc w:val="center"/>
              <w:rPr>
                <w:rFonts w:ascii="Arial" w:hAnsi="Arial" w:cs="Arial"/>
                <w:color w:val="000000"/>
                <w:sz w:val="16"/>
                <w:szCs w:val="16"/>
                <w:lang w:eastAsia="it-IT"/>
              </w:rPr>
            </w:pPr>
            <w:r w:rsidRPr="00BF5CE5">
              <w:rPr>
                <w:rFonts w:ascii="Arial" w:hAnsi="Arial" w:cs="Arial"/>
                <w:color w:val="000000"/>
                <w:sz w:val="16"/>
                <w:szCs w:val="16"/>
                <w:lang w:eastAsia="it-IT"/>
              </w:rPr>
              <w:t>2,74%</w:t>
            </w:r>
          </w:p>
        </w:tc>
        <w:tc>
          <w:tcPr>
            <w:tcW w:w="1060" w:type="dxa"/>
            <w:tcBorders>
              <w:top w:val="nil"/>
              <w:left w:val="nil"/>
              <w:bottom w:val="single" w:sz="8" w:space="0" w:color="auto"/>
              <w:right w:val="single" w:sz="4" w:space="0" w:color="auto"/>
            </w:tcBorders>
            <w:shd w:val="clear" w:color="000000" w:fill="CCECFF"/>
            <w:noWrap/>
            <w:vAlign w:val="bottom"/>
            <w:hideMark/>
          </w:tcPr>
          <w:p w:rsidR="00E6628E" w:rsidRPr="00BF5CE5" w:rsidRDefault="00E6628E" w:rsidP="00563141">
            <w:pPr>
              <w:jc w:val="center"/>
              <w:rPr>
                <w:rFonts w:ascii="Arial" w:hAnsi="Arial" w:cs="Arial"/>
                <w:color w:val="000000"/>
                <w:sz w:val="16"/>
                <w:szCs w:val="16"/>
                <w:lang w:eastAsia="it-IT"/>
              </w:rPr>
            </w:pPr>
            <w:r w:rsidRPr="00BF5CE5">
              <w:rPr>
                <w:rFonts w:ascii="Arial" w:hAnsi="Arial" w:cs="Arial"/>
                <w:color w:val="000000"/>
                <w:sz w:val="16"/>
                <w:szCs w:val="16"/>
                <w:lang w:eastAsia="it-IT"/>
              </w:rPr>
              <w:t>93,15%</w:t>
            </w:r>
          </w:p>
        </w:tc>
        <w:tc>
          <w:tcPr>
            <w:tcW w:w="1112" w:type="dxa"/>
            <w:tcBorders>
              <w:top w:val="nil"/>
              <w:left w:val="nil"/>
              <w:bottom w:val="single" w:sz="8" w:space="0" w:color="auto"/>
              <w:right w:val="single" w:sz="8" w:space="0" w:color="auto"/>
            </w:tcBorders>
            <w:shd w:val="clear" w:color="000000" w:fill="CCECFF"/>
            <w:noWrap/>
            <w:vAlign w:val="bottom"/>
            <w:hideMark/>
          </w:tcPr>
          <w:p w:rsidR="00E6628E" w:rsidRPr="00BF5CE5" w:rsidRDefault="00E6628E" w:rsidP="00563141">
            <w:pPr>
              <w:jc w:val="center"/>
              <w:rPr>
                <w:rFonts w:ascii="Arial" w:hAnsi="Arial" w:cs="Arial"/>
                <w:color w:val="000000"/>
                <w:sz w:val="16"/>
                <w:szCs w:val="16"/>
                <w:lang w:eastAsia="it-IT"/>
              </w:rPr>
            </w:pPr>
            <w:r w:rsidRPr="00BF5CE5">
              <w:rPr>
                <w:rFonts w:ascii="Arial" w:hAnsi="Arial" w:cs="Arial"/>
                <w:color w:val="000000"/>
                <w:sz w:val="16"/>
                <w:szCs w:val="16"/>
                <w:lang w:eastAsia="it-IT"/>
              </w:rPr>
              <w:t>4,11%</w:t>
            </w:r>
          </w:p>
        </w:tc>
      </w:tr>
      <w:tr w:rsidR="00E6628E" w:rsidRPr="00BF5CE5" w:rsidTr="00563141">
        <w:trPr>
          <w:trHeight w:val="269"/>
        </w:trPr>
        <w:tc>
          <w:tcPr>
            <w:tcW w:w="1291" w:type="dxa"/>
            <w:vMerge/>
            <w:tcBorders>
              <w:top w:val="nil"/>
              <w:left w:val="single" w:sz="8" w:space="0" w:color="auto"/>
              <w:bottom w:val="single" w:sz="8" w:space="0" w:color="000000"/>
              <w:right w:val="single" w:sz="4" w:space="0" w:color="auto"/>
            </w:tcBorders>
            <w:vAlign w:val="center"/>
            <w:hideMark/>
          </w:tcPr>
          <w:p w:rsidR="00E6628E" w:rsidRPr="00BF5CE5" w:rsidRDefault="00E6628E" w:rsidP="00563141">
            <w:pPr>
              <w:rPr>
                <w:rFonts w:ascii="Arial" w:hAnsi="Arial" w:cs="Arial"/>
                <w:sz w:val="16"/>
                <w:szCs w:val="16"/>
                <w:lang w:eastAsia="it-IT"/>
              </w:rPr>
            </w:pPr>
          </w:p>
        </w:tc>
        <w:tc>
          <w:tcPr>
            <w:tcW w:w="1339" w:type="dxa"/>
            <w:vMerge w:val="restart"/>
            <w:tcBorders>
              <w:top w:val="nil"/>
              <w:left w:val="single" w:sz="8" w:space="0" w:color="auto"/>
              <w:bottom w:val="single" w:sz="8" w:space="0" w:color="000000"/>
              <w:right w:val="single" w:sz="4" w:space="0" w:color="auto"/>
            </w:tcBorders>
            <w:shd w:val="clear" w:color="000000" w:fill="99CCFF"/>
            <w:noWrap/>
            <w:vAlign w:val="center"/>
            <w:hideMark/>
          </w:tcPr>
          <w:p w:rsidR="00E6628E" w:rsidRPr="00BF5CE5" w:rsidRDefault="00E6628E" w:rsidP="00563141">
            <w:pPr>
              <w:jc w:val="center"/>
              <w:rPr>
                <w:rFonts w:ascii="Arial" w:hAnsi="Arial" w:cs="Arial"/>
                <w:sz w:val="16"/>
                <w:szCs w:val="16"/>
                <w:lang w:eastAsia="it-IT"/>
              </w:rPr>
            </w:pPr>
            <w:r w:rsidRPr="00BF5CE5">
              <w:rPr>
                <w:rFonts w:ascii="Arial" w:hAnsi="Arial" w:cs="Arial"/>
                <w:sz w:val="16"/>
                <w:szCs w:val="16"/>
                <w:lang w:eastAsia="it-IT"/>
              </w:rPr>
              <w:t>C</w:t>
            </w:r>
          </w:p>
        </w:tc>
        <w:tc>
          <w:tcPr>
            <w:tcW w:w="1061" w:type="dxa"/>
            <w:vMerge w:val="restart"/>
            <w:tcBorders>
              <w:top w:val="nil"/>
              <w:left w:val="single" w:sz="4" w:space="0" w:color="auto"/>
              <w:bottom w:val="single" w:sz="8" w:space="0" w:color="000000"/>
              <w:right w:val="single" w:sz="4" w:space="0" w:color="auto"/>
            </w:tcBorders>
            <w:shd w:val="clear" w:color="000000" w:fill="99CCFF"/>
            <w:noWrap/>
            <w:vAlign w:val="center"/>
            <w:hideMark/>
          </w:tcPr>
          <w:p w:rsidR="00E6628E" w:rsidRPr="00BF5CE5" w:rsidRDefault="00E6628E" w:rsidP="00563141">
            <w:pPr>
              <w:jc w:val="center"/>
              <w:rPr>
                <w:rFonts w:ascii="Arial" w:hAnsi="Arial" w:cs="Arial"/>
                <w:sz w:val="16"/>
                <w:szCs w:val="16"/>
                <w:lang w:eastAsia="it-IT"/>
              </w:rPr>
            </w:pPr>
            <w:r w:rsidRPr="00BF5CE5">
              <w:rPr>
                <w:rFonts w:ascii="Arial" w:hAnsi="Arial" w:cs="Arial"/>
                <w:sz w:val="16"/>
                <w:szCs w:val="16"/>
                <w:lang w:eastAsia="it-IT"/>
              </w:rPr>
              <w:t>137</w:t>
            </w:r>
          </w:p>
        </w:tc>
        <w:tc>
          <w:tcPr>
            <w:tcW w:w="1002" w:type="dxa"/>
            <w:tcBorders>
              <w:top w:val="nil"/>
              <w:left w:val="nil"/>
              <w:bottom w:val="single" w:sz="4" w:space="0" w:color="auto"/>
              <w:right w:val="single" w:sz="4" w:space="0" w:color="auto"/>
            </w:tcBorders>
            <w:shd w:val="clear" w:color="000000" w:fill="99CCFF"/>
            <w:noWrap/>
            <w:vAlign w:val="bottom"/>
            <w:hideMark/>
          </w:tcPr>
          <w:p w:rsidR="00E6628E" w:rsidRPr="00BF5CE5" w:rsidRDefault="00E6628E" w:rsidP="00563141">
            <w:pPr>
              <w:jc w:val="center"/>
              <w:rPr>
                <w:rFonts w:ascii="Arial" w:hAnsi="Arial" w:cs="Arial"/>
                <w:color w:val="000000"/>
                <w:sz w:val="16"/>
                <w:szCs w:val="16"/>
                <w:lang w:eastAsia="it-IT"/>
              </w:rPr>
            </w:pPr>
            <w:r w:rsidRPr="00BF5CE5">
              <w:rPr>
                <w:rFonts w:ascii="Arial" w:hAnsi="Arial" w:cs="Arial"/>
                <w:color w:val="000000"/>
                <w:sz w:val="16"/>
                <w:szCs w:val="16"/>
                <w:lang w:eastAsia="it-IT"/>
              </w:rPr>
              <w:t>n. dipendenti</w:t>
            </w:r>
          </w:p>
        </w:tc>
        <w:tc>
          <w:tcPr>
            <w:tcW w:w="1701" w:type="dxa"/>
            <w:tcBorders>
              <w:top w:val="nil"/>
              <w:left w:val="nil"/>
              <w:bottom w:val="single" w:sz="4" w:space="0" w:color="auto"/>
              <w:right w:val="single" w:sz="4" w:space="0" w:color="auto"/>
            </w:tcBorders>
            <w:shd w:val="clear" w:color="000000" w:fill="99CCFF"/>
            <w:noWrap/>
            <w:vAlign w:val="bottom"/>
            <w:hideMark/>
          </w:tcPr>
          <w:p w:rsidR="00E6628E" w:rsidRPr="00BF5CE5" w:rsidRDefault="00E6628E" w:rsidP="00563141">
            <w:pPr>
              <w:jc w:val="center"/>
              <w:rPr>
                <w:rFonts w:ascii="Arial" w:hAnsi="Arial" w:cs="Arial"/>
                <w:color w:val="000000"/>
                <w:sz w:val="16"/>
                <w:szCs w:val="16"/>
                <w:lang w:eastAsia="it-IT"/>
              </w:rPr>
            </w:pPr>
            <w:r w:rsidRPr="00BF5CE5">
              <w:rPr>
                <w:rFonts w:ascii="Arial" w:hAnsi="Arial" w:cs="Arial"/>
                <w:color w:val="000000"/>
                <w:sz w:val="16"/>
                <w:szCs w:val="16"/>
                <w:lang w:eastAsia="it-IT"/>
              </w:rPr>
              <w:t>0</w:t>
            </w:r>
          </w:p>
        </w:tc>
        <w:tc>
          <w:tcPr>
            <w:tcW w:w="1491" w:type="dxa"/>
            <w:tcBorders>
              <w:top w:val="nil"/>
              <w:left w:val="nil"/>
              <w:bottom w:val="single" w:sz="4" w:space="0" w:color="auto"/>
              <w:right w:val="single" w:sz="4" w:space="0" w:color="auto"/>
            </w:tcBorders>
            <w:shd w:val="clear" w:color="000000" w:fill="99CCFF"/>
            <w:noWrap/>
            <w:vAlign w:val="bottom"/>
            <w:hideMark/>
          </w:tcPr>
          <w:p w:rsidR="00E6628E" w:rsidRPr="00BF5CE5" w:rsidRDefault="00E6628E" w:rsidP="00563141">
            <w:pPr>
              <w:jc w:val="center"/>
              <w:rPr>
                <w:rFonts w:ascii="Arial" w:hAnsi="Arial" w:cs="Arial"/>
                <w:color w:val="000000"/>
                <w:sz w:val="16"/>
                <w:szCs w:val="16"/>
                <w:lang w:eastAsia="it-IT"/>
              </w:rPr>
            </w:pPr>
            <w:r w:rsidRPr="00BF5CE5">
              <w:rPr>
                <w:rFonts w:ascii="Arial" w:hAnsi="Arial" w:cs="Arial"/>
                <w:color w:val="000000"/>
                <w:sz w:val="16"/>
                <w:szCs w:val="16"/>
                <w:lang w:eastAsia="it-IT"/>
              </w:rPr>
              <w:t>1</w:t>
            </w:r>
          </w:p>
        </w:tc>
        <w:tc>
          <w:tcPr>
            <w:tcW w:w="1060" w:type="dxa"/>
            <w:tcBorders>
              <w:top w:val="nil"/>
              <w:left w:val="nil"/>
              <w:bottom w:val="single" w:sz="4" w:space="0" w:color="auto"/>
              <w:right w:val="single" w:sz="4" w:space="0" w:color="auto"/>
            </w:tcBorders>
            <w:shd w:val="clear" w:color="000000" w:fill="99CCFF"/>
            <w:noWrap/>
            <w:vAlign w:val="bottom"/>
            <w:hideMark/>
          </w:tcPr>
          <w:p w:rsidR="00E6628E" w:rsidRPr="00BF5CE5" w:rsidRDefault="00E6628E" w:rsidP="00563141">
            <w:pPr>
              <w:jc w:val="center"/>
              <w:rPr>
                <w:rFonts w:ascii="Arial" w:hAnsi="Arial" w:cs="Arial"/>
                <w:color w:val="000000"/>
                <w:sz w:val="16"/>
                <w:szCs w:val="16"/>
                <w:lang w:eastAsia="it-IT"/>
              </w:rPr>
            </w:pPr>
            <w:r w:rsidRPr="00BF5CE5">
              <w:rPr>
                <w:rFonts w:ascii="Arial" w:hAnsi="Arial" w:cs="Arial"/>
                <w:color w:val="000000"/>
                <w:sz w:val="16"/>
                <w:szCs w:val="16"/>
                <w:lang w:eastAsia="it-IT"/>
              </w:rPr>
              <w:t>112</w:t>
            </w:r>
          </w:p>
        </w:tc>
        <w:tc>
          <w:tcPr>
            <w:tcW w:w="1112" w:type="dxa"/>
            <w:tcBorders>
              <w:top w:val="nil"/>
              <w:left w:val="nil"/>
              <w:bottom w:val="single" w:sz="4" w:space="0" w:color="auto"/>
              <w:right w:val="single" w:sz="8" w:space="0" w:color="auto"/>
            </w:tcBorders>
            <w:shd w:val="clear" w:color="000000" w:fill="99CCFF"/>
            <w:noWrap/>
            <w:vAlign w:val="bottom"/>
            <w:hideMark/>
          </w:tcPr>
          <w:p w:rsidR="00E6628E" w:rsidRPr="00BF5CE5" w:rsidRDefault="00E6628E" w:rsidP="00563141">
            <w:pPr>
              <w:jc w:val="center"/>
              <w:rPr>
                <w:rFonts w:ascii="Arial" w:hAnsi="Arial" w:cs="Arial"/>
                <w:color w:val="000000"/>
                <w:sz w:val="16"/>
                <w:szCs w:val="16"/>
                <w:lang w:eastAsia="it-IT"/>
              </w:rPr>
            </w:pPr>
            <w:r w:rsidRPr="00BF5CE5">
              <w:rPr>
                <w:rFonts w:ascii="Arial" w:hAnsi="Arial" w:cs="Arial"/>
                <w:color w:val="000000"/>
                <w:sz w:val="16"/>
                <w:szCs w:val="16"/>
                <w:lang w:eastAsia="it-IT"/>
              </w:rPr>
              <w:t>24</w:t>
            </w:r>
          </w:p>
        </w:tc>
      </w:tr>
      <w:tr w:rsidR="00E6628E" w:rsidRPr="00BF5CE5" w:rsidTr="00563141">
        <w:trPr>
          <w:trHeight w:val="285"/>
        </w:trPr>
        <w:tc>
          <w:tcPr>
            <w:tcW w:w="1291" w:type="dxa"/>
            <w:vMerge/>
            <w:tcBorders>
              <w:top w:val="nil"/>
              <w:left w:val="single" w:sz="8" w:space="0" w:color="auto"/>
              <w:bottom w:val="single" w:sz="8" w:space="0" w:color="000000"/>
              <w:right w:val="single" w:sz="4" w:space="0" w:color="auto"/>
            </w:tcBorders>
            <w:vAlign w:val="center"/>
            <w:hideMark/>
          </w:tcPr>
          <w:p w:rsidR="00E6628E" w:rsidRPr="00BF5CE5" w:rsidRDefault="00E6628E" w:rsidP="00563141">
            <w:pPr>
              <w:rPr>
                <w:rFonts w:ascii="Arial" w:hAnsi="Arial" w:cs="Arial"/>
                <w:sz w:val="16"/>
                <w:szCs w:val="16"/>
                <w:lang w:eastAsia="it-IT"/>
              </w:rPr>
            </w:pPr>
          </w:p>
        </w:tc>
        <w:tc>
          <w:tcPr>
            <w:tcW w:w="1339" w:type="dxa"/>
            <w:vMerge/>
            <w:tcBorders>
              <w:top w:val="nil"/>
              <w:left w:val="single" w:sz="8" w:space="0" w:color="auto"/>
              <w:bottom w:val="single" w:sz="8" w:space="0" w:color="000000"/>
              <w:right w:val="single" w:sz="4" w:space="0" w:color="auto"/>
            </w:tcBorders>
            <w:vAlign w:val="center"/>
            <w:hideMark/>
          </w:tcPr>
          <w:p w:rsidR="00E6628E" w:rsidRPr="00BF5CE5" w:rsidRDefault="00E6628E" w:rsidP="00563141">
            <w:pPr>
              <w:rPr>
                <w:rFonts w:ascii="Arial" w:hAnsi="Arial" w:cs="Arial"/>
                <w:sz w:val="16"/>
                <w:szCs w:val="16"/>
                <w:lang w:eastAsia="it-IT"/>
              </w:rPr>
            </w:pPr>
          </w:p>
        </w:tc>
        <w:tc>
          <w:tcPr>
            <w:tcW w:w="1061" w:type="dxa"/>
            <w:vMerge/>
            <w:tcBorders>
              <w:top w:val="nil"/>
              <w:left w:val="single" w:sz="4" w:space="0" w:color="auto"/>
              <w:bottom w:val="single" w:sz="8" w:space="0" w:color="000000"/>
              <w:right w:val="single" w:sz="4" w:space="0" w:color="auto"/>
            </w:tcBorders>
            <w:vAlign w:val="center"/>
            <w:hideMark/>
          </w:tcPr>
          <w:p w:rsidR="00E6628E" w:rsidRPr="00BF5CE5" w:rsidRDefault="00E6628E" w:rsidP="00563141">
            <w:pPr>
              <w:rPr>
                <w:rFonts w:ascii="Arial" w:hAnsi="Arial" w:cs="Arial"/>
                <w:sz w:val="16"/>
                <w:szCs w:val="16"/>
                <w:lang w:eastAsia="it-IT"/>
              </w:rPr>
            </w:pPr>
          </w:p>
        </w:tc>
        <w:tc>
          <w:tcPr>
            <w:tcW w:w="1002" w:type="dxa"/>
            <w:tcBorders>
              <w:top w:val="nil"/>
              <w:left w:val="nil"/>
              <w:bottom w:val="single" w:sz="8" w:space="0" w:color="auto"/>
              <w:right w:val="single" w:sz="4" w:space="0" w:color="auto"/>
            </w:tcBorders>
            <w:shd w:val="clear" w:color="000000" w:fill="99CCFF"/>
            <w:noWrap/>
            <w:vAlign w:val="bottom"/>
            <w:hideMark/>
          </w:tcPr>
          <w:p w:rsidR="00E6628E" w:rsidRPr="00BF5CE5" w:rsidRDefault="00E6628E" w:rsidP="00563141">
            <w:pPr>
              <w:jc w:val="center"/>
              <w:rPr>
                <w:rFonts w:ascii="Arial" w:hAnsi="Arial" w:cs="Arial"/>
                <w:sz w:val="16"/>
                <w:szCs w:val="16"/>
                <w:lang w:eastAsia="it-IT"/>
              </w:rPr>
            </w:pPr>
            <w:r w:rsidRPr="00BF5CE5">
              <w:rPr>
                <w:rFonts w:ascii="Arial" w:hAnsi="Arial" w:cs="Arial"/>
                <w:sz w:val="16"/>
                <w:szCs w:val="16"/>
                <w:lang w:eastAsia="it-IT"/>
              </w:rPr>
              <w:t>%</w:t>
            </w:r>
          </w:p>
        </w:tc>
        <w:tc>
          <w:tcPr>
            <w:tcW w:w="1701" w:type="dxa"/>
            <w:tcBorders>
              <w:top w:val="nil"/>
              <w:left w:val="nil"/>
              <w:bottom w:val="single" w:sz="8" w:space="0" w:color="auto"/>
              <w:right w:val="single" w:sz="4" w:space="0" w:color="auto"/>
            </w:tcBorders>
            <w:shd w:val="clear" w:color="000000" w:fill="99CCFF"/>
            <w:noWrap/>
            <w:vAlign w:val="bottom"/>
            <w:hideMark/>
          </w:tcPr>
          <w:p w:rsidR="00E6628E" w:rsidRPr="00BF5CE5" w:rsidRDefault="00E6628E" w:rsidP="00563141">
            <w:pPr>
              <w:jc w:val="center"/>
              <w:rPr>
                <w:rFonts w:ascii="Arial" w:hAnsi="Arial" w:cs="Arial"/>
                <w:color w:val="000000"/>
                <w:sz w:val="16"/>
                <w:szCs w:val="16"/>
                <w:lang w:eastAsia="it-IT"/>
              </w:rPr>
            </w:pPr>
            <w:r w:rsidRPr="00BF5CE5">
              <w:rPr>
                <w:rFonts w:ascii="Arial" w:hAnsi="Arial" w:cs="Arial"/>
                <w:color w:val="000000"/>
                <w:sz w:val="16"/>
                <w:szCs w:val="16"/>
                <w:lang w:eastAsia="it-IT"/>
              </w:rPr>
              <w:t>0,00%</w:t>
            </w:r>
          </w:p>
        </w:tc>
        <w:tc>
          <w:tcPr>
            <w:tcW w:w="1491" w:type="dxa"/>
            <w:tcBorders>
              <w:top w:val="nil"/>
              <w:left w:val="nil"/>
              <w:bottom w:val="single" w:sz="8" w:space="0" w:color="auto"/>
              <w:right w:val="single" w:sz="4" w:space="0" w:color="auto"/>
            </w:tcBorders>
            <w:shd w:val="clear" w:color="000000" w:fill="99CCFF"/>
            <w:noWrap/>
            <w:vAlign w:val="bottom"/>
            <w:hideMark/>
          </w:tcPr>
          <w:p w:rsidR="00E6628E" w:rsidRPr="00BF5CE5" w:rsidRDefault="00E6628E" w:rsidP="00563141">
            <w:pPr>
              <w:jc w:val="center"/>
              <w:rPr>
                <w:rFonts w:ascii="Arial" w:hAnsi="Arial" w:cs="Arial"/>
                <w:color w:val="000000"/>
                <w:sz w:val="16"/>
                <w:szCs w:val="16"/>
                <w:lang w:eastAsia="it-IT"/>
              </w:rPr>
            </w:pPr>
            <w:r w:rsidRPr="00BF5CE5">
              <w:rPr>
                <w:rFonts w:ascii="Arial" w:hAnsi="Arial" w:cs="Arial"/>
                <w:color w:val="000000"/>
                <w:sz w:val="16"/>
                <w:szCs w:val="16"/>
                <w:lang w:eastAsia="it-IT"/>
              </w:rPr>
              <w:t>0,73%</w:t>
            </w:r>
          </w:p>
        </w:tc>
        <w:tc>
          <w:tcPr>
            <w:tcW w:w="1060" w:type="dxa"/>
            <w:tcBorders>
              <w:top w:val="nil"/>
              <w:left w:val="nil"/>
              <w:bottom w:val="single" w:sz="8" w:space="0" w:color="auto"/>
              <w:right w:val="single" w:sz="4" w:space="0" w:color="auto"/>
            </w:tcBorders>
            <w:shd w:val="clear" w:color="000000" w:fill="99CCFF"/>
            <w:noWrap/>
            <w:vAlign w:val="bottom"/>
            <w:hideMark/>
          </w:tcPr>
          <w:p w:rsidR="00E6628E" w:rsidRPr="00BF5CE5" w:rsidRDefault="00E6628E" w:rsidP="00563141">
            <w:pPr>
              <w:jc w:val="center"/>
              <w:rPr>
                <w:rFonts w:ascii="Arial" w:hAnsi="Arial" w:cs="Arial"/>
                <w:color w:val="000000"/>
                <w:sz w:val="16"/>
                <w:szCs w:val="16"/>
                <w:lang w:eastAsia="it-IT"/>
              </w:rPr>
            </w:pPr>
            <w:r w:rsidRPr="00BF5CE5">
              <w:rPr>
                <w:rFonts w:ascii="Arial" w:hAnsi="Arial" w:cs="Arial"/>
                <w:color w:val="000000"/>
                <w:sz w:val="16"/>
                <w:szCs w:val="16"/>
                <w:lang w:eastAsia="it-IT"/>
              </w:rPr>
              <w:t>81,75%</w:t>
            </w:r>
          </w:p>
        </w:tc>
        <w:tc>
          <w:tcPr>
            <w:tcW w:w="1112" w:type="dxa"/>
            <w:tcBorders>
              <w:top w:val="nil"/>
              <w:left w:val="nil"/>
              <w:bottom w:val="single" w:sz="8" w:space="0" w:color="auto"/>
              <w:right w:val="single" w:sz="8" w:space="0" w:color="auto"/>
            </w:tcBorders>
            <w:shd w:val="clear" w:color="000000" w:fill="99CCFF"/>
            <w:noWrap/>
            <w:vAlign w:val="bottom"/>
            <w:hideMark/>
          </w:tcPr>
          <w:p w:rsidR="00E6628E" w:rsidRPr="00BF5CE5" w:rsidRDefault="00E6628E" w:rsidP="00563141">
            <w:pPr>
              <w:jc w:val="center"/>
              <w:rPr>
                <w:rFonts w:ascii="Arial" w:hAnsi="Arial" w:cs="Arial"/>
                <w:color w:val="000000"/>
                <w:sz w:val="16"/>
                <w:szCs w:val="16"/>
                <w:lang w:eastAsia="it-IT"/>
              </w:rPr>
            </w:pPr>
            <w:r w:rsidRPr="00BF5CE5">
              <w:rPr>
                <w:rFonts w:ascii="Arial" w:hAnsi="Arial" w:cs="Arial"/>
                <w:color w:val="000000"/>
                <w:sz w:val="16"/>
                <w:szCs w:val="16"/>
                <w:lang w:eastAsia="it-IT"/>
              </w:rPr>
              <w:t>17,52%</w:t>
            </w:r>
          </w:p>
        </w:tc>
      </w:tr>
      <w:tr w:rsidR="00E6628E" w:rsidRPr="00BF5CE5" w:rsidTr="00563141">
        <w:trPr>
          <w:trHeight w:val="269"/>
        </w:trPr>
        <w:tc>
          <w:tcPr>
            <w:tcW w:w="1291" w:type="dxa"/>
            <w:vMerge/>
            <w:tcBorders>
              <w:top w:val="nil"/>
              <w:left w:val="single" w:sz="8" w:space="0" w:color="auto"/>
              <w:bottom w:val="single" w:sz="8" w:space="0" w:color="000000"/>
              <w:right w:val="single" w:sz="4" w:space="0" w:color="auto"/>
            </w:tcBorders>
            <w:vAlign w:val="center"/>
            <w:hideMark/>
          </w:tcPr>
          <w:p w:rsidR="00E6628E" w:rsidRPr="00BF5CE5" w:rsidRDefault="00E6628E" w:rsidP="00563141">
            <w:pPr>
              <w:rPr>
                <w:rFonts w:ascii="Arial" w:hAnsi="Arial" w:cs="Arial"/>
                <w:sz w:val="16"/>
                <w:szCs w:val="16"/>
                <w:lang w:eastAsia="it-IT"/>
              </w:rPr>
            </w:pPr>
          </w:p>
        </w:tc>
        <w:tc>
          <w:tcPr>
            <w:tcW w:w="1339" w:type="dxa"/>
            <w:vMerge w:val="restart"/>
            <w:tcBorders>
              <w:top w:val="nil"/>
              <w:left w:val="single" w:sz="8" w:space="0" w:color="auto"/>
              <w:bottom w:val="single" w:sz="8" w:space="0" w:color="000000"/>
              <w:right w:val="single" w:sz="4" w:space="0" w:color="auto"/>
            </w:tcBorders>
            <w:shd w:val="clear" w:color="000000" w:fill="6699FF"/>
            <w:noWrap/>
            <w:vAlign w:val="center"/>
            <w:hideMark/>
          </w:tcPr>
          <w:p w:rsidR="00E6628E" w:rsidRPr="00BF5CE5" w:rsidRDefault="00E6628E" w:rsidP="00563141">
            <w:pPr>
              <w:jc w:val="center"/>
              <w:rPr>
                <w:rFonts w:ascii="Arial" w:hAnsi="Arial" w:cs="Arial"/>
                <w:sz w:val="16"/>
                <w:szCs w:val="16"/>
                <w:lang w:eastAsia="it-IT"/>
              </w:rPr>
            </w:pPr>
            <w:r w:rsidRPr="00BF5CE5">
              <w:rPr>
                <w:rFonts w:ascii="Arial" w:hAnsi="Arial" w:cs="Arial"/>
                <w:sz w:val="16"/>
                <w:szCs w:val="16"/>
                <w:lang w:eastAsia="it-IT"/>
              </w:rPr>
              <w:t>D</w:t>
            </w:r>
          </w:p>
        </w:tc>
        <w:tc>
          <w:tcPr>
            <w:tcW w:w="1061" w:type="dxa"/>
            <w:vMerge w:val="restart"/>
            <w:tcBorders>
              <w:top w:val="nil"/>
              <w:left w:val="single" w:sz="4" w:space="0" w:color="auto"/>
              <w:bottom w:val="single" w:sz="8" w:space="0" w:color="000000"/>
              <w:right w:val="single" w:sz="4" w:space="0" w:color="auto"/>
            </w:tcBorders>
            <w:shd w:val="clear" w:color="000000" w:fill="6699FF"/>
            <w:noWrap/>
            <w:vAlign w:val="center"/>
            <w:hideMark/>
          </w:tcPr>
          <w:p w:rsidR="00E6628E" w:rsidRPr="00BF5CE5" w:rsidRDefault="00E6628E" w:rsidP="00563141">
            <w:pPr>
              <w:jc w:val="center"/>
              <w:rPr>
                <w:rFonts w:ascii="Arial" w:hAnsi="Arial" w:cs="Arial"/>
                <w:sz w:val="16"/>
                <w:szCs w:val="16"/>
                <w:lang w:eastAsia="it-IT"/>
              </w:rPr>
            </w:pPr>
            <w:r w:rsidRPr="00BF5CE5">
              <w:rPr>
                <w:rFonts w:ascii="Arial" w:hAnsi="Arial" w:cs="Arial"/>
                <w:sz w:val="16"/>
                <w:szCs w:val="16"/>
                <w:lang w:eastAsia="it-IT"/>
              </w:rPr>
              <w:t>78</w:t>
            </w:r>
          </w:p>
        </w:tc>
        <w:tc>
          <w:tcPr>
            <w:tcW w:w="1002" w:type="dxa"/>
            <w:tcBorders>
              <w:top w:val="nil"/>
              <w:left w:val="nil"/>
              <w:bottom w:val="single" w:sz="4" w:space="0" w:color="auto"/>
              <w:right w:val="single" w:sz="4" w:space="0" w:color="auto"/>
            </w:tcBorders>
            <w:shd w:val="clear" w:color="000000" w:fill="6699FF"/>
            <w:noWrap/>
            <w:vAlign w:val="bottom"/>
            <w:hideMark/>
          </w:tcPr>
          <w:p w:rsidR="00E6628E" w:rsidRPr="00BF5CE5" w:rsidRDefault="00E6628E" w:rsidP="00563141">
            <w:pPr>
              <w:jc w:val="center"/>
              <w:rPr>
                <w:rFonts w:ascii="Arial" w:hAnsi="Arial" w:cs="Arial"/>
                <w:color w:val="000000"/>
                <w:sz w:val="16"/>
                <w:szCs w:val="16"/>
                <w:lang w:eastAsia="it-IT"/>
              </w:rPr>
            </w:pPr>
            <w:r w:rsidRPr="00BF5CE5">
              <w:rPr>
                <w:rFonts w:ascii="Arial" w:hAnsi="Arial" w:cs="Arial"/>
                <w:color w:val="000000"/>
                <w:sz w:val="16"/>
                <w:szCs w:val="16"/>
                <w:lang w:eastAsia="it-IT"/>
              </w:rPr>
              <w:t>n. dipendenti</w:t>
            </w:r>
          </w:p>
        </w:tc>
        <w:tc>
          <w:tcPr>
            <w:tcW w:w="1701" w:type="dxa"/>
            <w:tcBorders>
              <w:top w:val="nil"/>
              <w:left w:val="nil"/>
              <w:bottom w:val="single" w:sz="4" w:space="0" w:color="auto"/>
              <w:right w:val="single" w:sz="4" w:space="0" w:color="auto"/>
            </w:tcBorders>
            <w:shd w:val="clear" w:color="000000" w:fill="6699FF"/>
            <w:noWrap/>
            <w:vAlign w:val="bottom"/>
            <w:hideMark/>
          </w:tcPr>
          <w:p w:rsidR="00E6628E" w:rsidRPr="00BF5CE5" w:rsidRDefault="00E6628E" w:rsidP="00563141">
            <w:pPr>
              <w:jc w:val="center"/>
              <w:rPr>
                <w:rFonts w:ascii="Arial" w:hAnsi="Arial" w:cs="Arial"/>
                <w:color w:val="000000"/>
                <w:sz w:val="16"/>
                <w:szCs w:val="16"/>
                <w:lang w:eastAsia="it-IT"/>
              </w:rPr>
            </w:pPr>
            <w:r w:rsidRPr="00BF5CE5">
              <w:rPr>
                <w:rFonts w:ascii="Arial" w:hAnsi="Arial" w:cs="Arial"/>
                <w:color w:val="000000"/>
                <w:sz w:val="16"/>
                <w:szCs w:val="16"/>
                <w:lang w:eastAsia="it-IT"/>
              </w:rPr>
              <w:t>1</w:t>
            </w:r>
          </w:p>
        </w:tc>
        <w:tc>
          <w:tcPr>
            <w:tcW w:w="1491" w:type="dxa"/>
            <w:tcBorders>
              <w:top w:val="nil"/>
              <w:left w:val="nil"/>
              <w:bottom w:val="single" w:sz="4" w:space="0" w:color="auto"/>
              <w:right w:val="single" w:sz="4" w:space="0" w:color="auto"/>
            </w:tcBorders>
            <w:shd w:val="clear" w:color="000000" w:fill="6699FF"/>
            <w:noWrap/>
            <w:vAlign w:val="bottom"/>
            <w:hideMark/>
          </w:tcPr>
          <w:p w:rsidR="00E6628E" w:rsidRPr="00BF5CE5" w:rsidRDefault="00E6628E" w:rsidP="00563141">
            <w:pPr>
              <w:jc w:val="center"/>
              <w:rPr>
                <w:rFonts w:ascii="Arial" w:hAnsi="Arial" w:cs="Arial"/>
                <w:color w:val="000000"/>
                <w:sz w:val="16"/>
                <w:szCs w:val="16"/>
                <w:lang w:eastAsia="it-IT"/>
              </w:rPr>
            </w:pPr>
            <w:r w:rsidRPr="00BF5CE5">
              <w:rPr>
                <w:rFonts w:ascii="Arial" w:hAnsi="Arial" w:cs="Arial"/>
                <w:color w:val="000000"/>
                <w:sz w:val="16"/>
                <w:szCs w:val="16"/>
                <w:lang w:eastAsia="it-IT"/>
              </w:rPr>
              <w:t>1</w:t>
            </w:r>
          </w:p>
        </w:tc>
        <w:tc>
          <w:tcPr>
            <w:tcW w:w="1060" w:type="dxa"/>
            <w:tcBorders>
              <w:top w:val="nil"/>
              <w:left w:val="nil"/>
              <w:bottom w:val="single" w:sz="4" w:space="0" w:color="auto"/>
              <w:right w:val="single" w:sz="4" w:space="0" w:color="auto"/>
            </w:tcBorders>
            <w:shd w:val="clear" w:color="000000" w:fill="6699FF"/>
            <w:noWrap/>
            <w:vAlign w:val="bottom"/>
            <w:hideMark/>
          </w:tcPr>
          <w:p w:rsidR="00E6628E" w:rsidRPr="00BF5CE5" w:rsidRDefault="00E6628E" w:rsidP="00563141">
            <w:pPr>
              <w:jc w:val="center"/>
              <w:rPr>
                <w:rFonts w:ascii="Arial" w:hAnsi="Arial" w:cs="Arial"/>
                <w:color w:val="000000"/>
                <w:sz w:val="16"/>
                <w:szCs w:val="16"/>
                <w:lang w:eastAsia="it-IT"/>
              </w:rPr>
            </w:pPr>
            <w:r w:rsidRPr="00BF5CE5">
              <w:rPr>
                <w:rFonts w:ascii="Arial" w:hAnsi="Arial" w:cs="Arial"/>
                <w:color w:val="000000"/>
                <w:sz w:val="16"/>
                <w:szCs w:val="16"/>
                <w:lang w:eastAsia="it-IT"/>
              </w:rPr>
              <w:t>61</w:t>
            </w:r>
          </w:p>
        </w:tc>
        <w:tc>
          <w:tcPr>
            <w:tcW w:w="1112" w:type="dxa"/>
            <w:tcBorders>
              <w:top w:val="nil"/>
              <w:left w:val="nil"/>
              <w:bottom w:val="single" w:sz="4" w:space="0" w:color="auto"/>
              <w:right w:val="single" w:sz="8" w:space="0" w:color="auto"/>
            </w:tcBorders>
            <w:shd w:val="clear" w:color="000000" w:fill="6699FF"/>
            <w:noWrap/>
            <w:vAlign w:val="bottom"/>
            <w:hideMark/>
          </w:tcPr>
          <w:p w:rsidR="00E6628E" w:rsidRPr="00BF5CE5" w:rsidRDefault="00E6628E" w:rsidP="00563141">
            <w:pPr>
              <w:jc w:val="center"/>
              <w:rPr>
                <w:rFonts w:ascii="Arial" w:hAnsi="Arial" w:cs="Arial"/>
                <w:color w:val="000000"/>
                <w:sz w:val="16"/>
                <w:szCs w:val="16"/>
                <w:lang w:eastAsia="it-IT"/>
              </w:rPr>
            </w:pPr>
            <w:r w:rsidRPr="00BF5CE5">
              <w:rPr>
                <w:rFonts w:ascii="Arial" w:hAnsi="Arial" w:cs="Arial"/>
                <w:color w:val="000000"/>
                <w:sz w:val="16"/>
                <w:szCs w:val="16"/>
                <w:lang w:eastAsia="it-IT"/>
              </w:rPr>
              <w:t>15</w:t>
            </w:r>
          </w:p>
        </w:tc>
      </w:tr>
      <w:tr w:rsidR="00E6628E" w:rsidRPr="00BF5CE5" w:rsidTr="00563141">
        <w:trPr>
          <w:trHeight w:val="285"/>
        </w:trPr>
        <w:tc>
          <w:tcPr>
            <w:tcW w:w="1291" w:type="dxa"/>
            <w:vMerge/>
            <w:tcBorders>
              <w:top w:val="nil"/>
              <w:left w:val="single" w:sz="8" w:space="0" w:color="auto"/>
              <w:bottom w:val="single" w:sz="8" w:space="0" w:color="000000"/>
              <w:right w:val="single" w:sz="4" w:space="0" w:color="auto"/>
            </w:tcBorders>
            <w:vAlign w:val="center"/>
            <w:hideMark/>
          </w:tcPr>
          <w:p w:rsidR="00E6628E" w:rsidRPr="00BF5CE5" w:rsidRDefault="00E6628E" w:rsidP="00563141">
            <w:pPr>
              <w:rPr>
                <w:rFonts w:ascii="Arial" w:hAnsi="Arial" w:cs="Arial"/>
                <w:sz w:val="16"/>
                <w:szCs w:val="16"/>
                <w:lang w:eastAsia="it-IT"/>
              </w:rPr>
            </w:pPr>
          </w:p>
        </w:tc>
        <w:tc>
          <w:tcPr>
            <w:tcW w:w="1339" w:type="dxa"/>
            <w:vMerge/>
            <w:tcBorders>
              <w:top w:val="nil"/>
              <w:left w:val="single" w:sz="8" w:space="0" w:color="auto"/>
              <w:bottom w:val="single" w:sz="8" w:space="0" w:color="000000"/>
              <w:right w:val="single" w:sz="4" w:space="0" w:color="auto"/>
            </w:tcBorders>
            <w:vAlign w:val="center"/>
            <w:hideMark/>
          </w:tcPr>
          <w:p w:rsidR="00E6628E" w:rsidRPr="00BF5CE5" w:rsidRDefault="00E6628E" w:rsidP="00563141">
            <w:pPr>
              <w:rPr>
                <w:rFonts w:ascii="Arial" w:hAnsi="Arial" w:cs="Arial"/>
                <w:sz w:val="16"/>
                <w:szCs w:val="16"/>
                <w:lang w:eastAsia="it-IT"/>
              </w:rPr>
            </w:pPr>
          </w:p>
        </w:tc>
        <w:tc>
          <w:tcPr>
            <w:tcW w:w="1061" w:type="dxa"/>
            <w:vMerge/>
            <w:tcBorders>
              <w:top w:val="nil"/>
              <w:left w:val="single" w:sz="4" w:space="0" w:color="auto"/>
              <w:bottom w:val="single" w:sz="8" w:space="0" w:color="000000"/>
              <w:right w:val="single" w:sz="4" w:space="0" w:color="auto"/>
            </w:tcBorders>
            <w:vAlign w:val="center"/>
            <w:hideMark/>
          </w:tcPr>
          <w:p w:rsidR="00E6628E" w:rsidRPr="00BF5CE5" w:rsidRDefault="00E6628E" w:rsidP="00563141">
            <w:pPr>
              <w:rPr>
                <w:rFonts w:ascii="Arial" w:hAnsi="Arial" w:cs="Arial"/>
                <w:sz w:val="16"/>
                <w:szCs w:val="16"/>
                <w:lang w:eastAsia="it-IT"/>
              </w:rPr>
            </w:pPr>
          </w:p>
        </w:tc>
        <w:tc>
          <w:tcPr>
            <w:tcW w:w="1002" w:type="dxa"/>
            <w:tcBorders>
              <w:top w:val="nil"/>
              <w:left w:val="nil"/>
              <w:bottom w:val="single" w:sz="8" w:space="0" w:color="auto"/>
              <w:right w:val="single" w:sz="4" w:space="0" w:color="auto"/>
            </w:tcBorders>
            <w:shd w:val="clear" w:color="000000" w:fill="6699FF"/>
            <w:noWrap/>
            <w:vAlign w:val="bottom"/>
            <w:hideMark/>
          </w:tcPr>
          <w:p w:rsidR="00E6628E" w:rsidRPr="00BF5CE5" w:rsidRDefault="00E6628E" w:rsidP="00563141">
            <w:pPr>
              <w:jc w:val="center"/>
              <w:rPr>
                <w:rFonts w:ascii="Arial" w:hAnsi="Arial" w:cs="Arial"/>
                <w:sz w:val="16"/>
                <w:szCs w:val="16"/>
                <w:lang w:eastAsia="it-IT"/>
              </w:rPr>
            </w:pPr>
            <w:r w:rsidRPr="00BF5CE5">
              <w:rPr>
                <w:rFonts w:ascii="Arial" w:hAnsi="Arial" w:cs="Arial"/>
                <w:sz w:val="16"/>
                <w:szCs w:val="16"/>
                <w:lang w:eastAsia="it-IT"/>
              </w:rPr>
              <w:t>%</w:t>
            </w:r>
          </w:p>
        </w:tc>
        <w:tc>
          <w:tcPr>
            <w:tcW w:w="1701" w:type="dxa"/>
            <w:tcBorders>
              <w:top w:val="nil"/>
              <w:left w:val="nil"/>
              <w:bottom w:val="single" w:sz="8" w:space="0" w:color="auto"/>
              <w:right w:val="single" w:sz="4" w:space="0" w:color="auto"/>
            </w:tcBorders>
            <w:shd w:val="clear" w:color="000000" w:fill="6699FF"/>
            <w:noWrap/>
            <w:vAlign w:val="bottom"/>
            <w:hideMark/>
          </w:tcPr>
          <w:p w:rsidR="00E6628E" w:rsidRPr="00BF5CE5" w:rsidRDefault="00E6628E" w:rsidP="00563141">
            <w:pPr>
              <w:jc w:val="center"/>
              <w:rPr>
                <w:rFonts w:ascii="Arial" w:hAnsi="Arial" w:cs="Arial"/>
                <w:color w:val="000000"/>
                <w:sz w:val="16"/>
                <w:szCs w:val="16"/>
                <w:lang w:eastAsia="it-IT"/>
              </w:rPr>
            </w:pPr>
            <w:r w:rsidRPr="00BF5CE5">
              <w:rPr>
                <w:rFonts w:ascii="Arial" w:hAnsi="Arial" w:cs="Arial"/>
                <w:color w:val="000000"/>
                <w:sz w:val="16"/>
                <w:szCs w:val="16"/>
                <w:lang w:eastAsia="it-IT"/>
              </w:rPr>
              <w:t>1,28%</w:t>
            </w:r>
          </w:p>
        </w:tc>
        <w:tc>
          <w:tcPr>
            <w:tcW w:w="1491" w:type="dxa"/>
            <w:tcBorders>
              <w:top w:val="nil"/>
              <w:left w:val="nil"/>
              <w:bottom w:val="single" w:sz="8" w:space="0" w:color="auto"/>
              <w:right w:val="single" w:sz="4" w:space="0" w:color="auto"/>
            </w:tcBorders>
            <w:shd w:val="clear" w:color="000000" w:fill="6699FF"/>
            <w:noWrap/>
            <w:vAlign w:val="bottom"/>
            <w:hideMark/>
          </w:tcPr>
          <w:p w:rsidR="00E6628E" w:rsidRPr="00BF5CE5" w:rsidRDefault="00E6628E" w:rsidP="00563141">
            <w:pPr>
              <w:jc w:val="center"/>
              <w:rPr>
                <w:rFonts w:ascii="Arial" w:hAnsi="Arial" w:cs="Arial"/>
                <w:color w:val="000000"/>
                <w:sz w:val="16"/>
                <w:szCs w:val="16"/>
                <w:lang w:eastAsia="it-IT"/>
              </w:rPr>
            </w:pPr>
            <w:r w:rsidRPr="00BF5CE5">
              <w:rPr>
                <w:rFonts w:ascii="Arial" w:hAnsi="Arial" w:cs="Arial"/>
                <w:color w:val="000000"/>
                <w:sz w:val="16"/>
                <w:szCs w:val="16"/>
                <w:lang w:eastAsia="it-IT"/>
              </w:rPr>
              <w:t>1,28%</w:t>
            </w:r>
          </w:p>
        </w:tc>
        <w:tc>
          <w:tcPr>
            <w:tcW w:w="1060" w:type="dxa"/>
            <w:tcBorders>
              <w:top w:val="nil"/>
              <w:left w:val="nil"/>
              <w:bottom w:val="single" w:sz="8" w:space="0" w:color="auto"/>
              <w:right w:val="single" w:sz="4" w:space="0" w:color="auto"/>
            </w:tcBorders>
            <w:shd w:val="clear" w:color="000000" w:fill="6699FF"/>
            <w:noWrap/>
            <w:vAlign w:val="bottom"/>
            <w:hideMark/>
          </w:tcPr>
          <w:p w:rsidR="00E6628E" w:rsidRPr="00BF5CE5" w:rsidRDefault="00E6628E" w:rsidP="00563141">
            <w:pPr>
              <w:jc w:val="center"/>
              <w:rPr>
                <w:rFonts w:ascii="Arial" w:hAnsi="Arial" w:cs="Arial"/>
                <w:color w:val="000000"/>
                <w:sz w:val="16"/>
                <w:szCs w:val="16"/>
                <w:lang w:eastAsia="it-IT"/>
              </w:rPr>
            </w:pPr>
            <w:r w:rsidRPr="00BF5CE5">
              <w:rPr>
                <w:rFonts w:ascii="Arial" w:hAnsi="Arial" w:cs="Arial"/>
                <w:color w:val="000000"/>
                <w:sz w:val="16"/>
                <w:szCs w:val="16"/>
                <w:lang w:eastAsia="it-IT"/>
              </w:rPr>
              <w:t>78,21%</w:t>
            </w:r>
          </w:p>
        </w:tc>
        <w:tc>
          <w:tcPr>
            <w:tcW w:w="1112" w:type="dxa"/>
            <w:tcBorders>
              <w:top w:val="nil"/>
              <w:left w:val="nil"/>
              <w:bottom w:val="single" w:sz="8" w:space="0" w:color="auto"/>
              <w:right w:val="single" w:sz="8" w:space="0" w:color="auto"/>
            </w:tcBorders>
            <w:shd w:val="clear" w:color="000000" w:fill="6699FF"/>
            <w:noWrap/>
            <w:vAlign w:val="bottom"/>
            <w:hideMark/>
          </w:tcPr>
          <w:p w:rsidR="00E6628E" w:rsidRPr="00BF5CE5" w:rsidRDefault="00E6628E" w:rsidP="00563141">
            <w:pPr>
              <w:jc w:val="center"/>
              <w:rPr>
                <w:rFonts w:ascii="Arial" w:hAnsi="Arial" w:cs="Arial"/>
                <w:color w:val="000000"/>
                <w:sz w:val="16"/>
                <w:szCs w:val="16"/>
                <w:lang w:eastAsia="it-IT"/>
              </w:rPr>
            </w:pPr>
            <w:r w:rsidRPr="00BF5CE5">
              <w:rPr>
                <w:rFonts w:ascii="Arial" w:hAnsi="Arial" w:cs="Arial"/>
                <w:color w:val="000000"/>
                <w:sz w:val="16"/>
                <w:szCs w:val="16"/>
                <w:lang w:eastAsia="it-IT"/>
              </w:rPr>
              <w:t>19,23%</w:t>
            </w:r>
          </w:p>
        </w:tc>
      </w:tr>
      <w:tr w:rsidR="00E6628E" w:rsidRPr="00BF5CE5" w:rsidTr="00563141">
        <w:trPr>
          <w:trHeight w:val="269"/>
        </w:trPr>
        <w:tc>
          <w:tcPr>
            <w:tcW w:w="1291" w:type="dxa"/>
            <w:vMerge/>
            <w:tcBorders>
              <w:top w:val="nil"/>
              <w:left w:val="single" w:sz="8" w:space="0" w:color="auto"/>
              <w:bottom w:val="single" w:sz="8" w:space="0" w:color="000000"/>
              <w:right w:val="single" w:sz="4" w:space="0" w:color="auto"/>
            </w:tcBorders>
            <w:vAlign w:val="center"/>
            <w:hideMark/>
          </w:tcPr>
          <w:p w:rsidR="00E6628E" w:rsidRPr="00BF5CE5" w:rsidRDefault="00E6628E" w:rsidP="00563141">
            <w:pPr>
              <w:rPr>
                <w:rFonts w:ascii="Arial" w:hAnsi="Arial" w:cs="Arial"/>
                <w:sz w:val="16"/>
                <w:szCs w:val="16"/>
                <w:lang w:eastAsia="it-IT"/>
              </w:rPr>
            </w:pPr>
          </w:p>
        </w:tc>
        <w:tc>
          <w:tcPr>
            <w:tcW w:w="2400" w:type="dxa"/>
            <w:gridSpan w:val="2"/>
            <w:vMerge w:val="restart"/>
            <w:tcBorders>
              <w:top w:val="single" w:sz="8" w:space="0" w:color="auto"/>
              <w:left w:val="single" w:sz="8" w:space="0" w:color="auto"/>
              <w:bottom w:val="single" w:sz="8" w:space="0" w:color="000000"/>
              <w:right w:val="single" w:sz="4" w:space="0" w:color="000000"/>
            </w:tcBorders>
            <w:shd w:val="clear" w:color="000000" w:fill="3366FF"/>
            <w:noWrap/>
            <w:vAlign w:val="center"/>
            <w:hideMark/>
          </w:tcPr>
          <w:p w:rsidR="00E6628E" w:rsidRPr="00BF5CE5" w:rsidRDefault="00E6628E" w:rsidP="00563141">
            <w:pPr>
              <w:jc w:val="center"/>
              <w:rPr>
                <w:rFonts w:ascii="Arial" w:hAnsi="Arial" w:cs="Arial"/>
                <w:b/>
                <w:bCs/>
                <w:sz w:val="16"/>
                <w:szCs w:val="16"/>
                <w:lang w:eastAsia="it-IT"/>
              </w:rPr>
            </w:pPr>
            <w:r w:rsidRPr="00BF5CE5">
              <w:rPr>
                <w:rFonts w:ascii="Arial" w:hAnsi="Arial" w:cs="Arial"/>
                <w:b/>
                <w:bCs/>
                <w:sz w:val="16"/>
                <w:szCs w:val="16"/>
                <w:lang w:eastAsia="it-IT"/>
              </w:rPr>
              <w:t>TOTALE</w:t>
            </w:r>
          </w:p>
        </w:tc>
        <w:tc>
          <w:tcPr>
            <w:tcW w:w="1002" w:type="dxa"/>
            <w:tcBorders>
              <w:top w:val="nil"/>
              <w:left w:val="nil"/>
              <w:bottom w:val="single" w:sz="4" w:space="0" w:color="auto"/>
              <w:right w:val="single" w:sz="4" w:space="0" w:color="auto"/>
            </w:tcBorders>
            <w:shd w:val="clear" w:color="000000" w:fill="3366FF"/>
            <w:noWrap/>
            <w:vAlign w:val="bottom"/>
            <w:hideMark/>
          </w:tcPr>
          <w:p w:rsidR="00E6628E" w:rsidRPr="00BF5CE5" w:rsidRDefault="00E6628E" w:rsidP="00563141">
            <w:pPr>
              <w:jc w:val="center"/>
              <w:rPr>
                <w:rFonts w:ascii="Arial" w:hAnsi="Arial" w:cs="Arial"/>
                <w:color w:val="000000"/>
                <w:sz w:val="16"/>
                <w:szCs w:val="16"/>
                <w:lang w:eastAsia="it-IT"/>
              </w:rPr>
            </w:pPr>
            <w:r w:rsidRPr="00BF5CE5">
              <w:rPr>
                <w:rFonts w:ascii="Arial" w:hAnsi="Arial" w:cs="Arial"/>
                <w:color w:val="000000"/>
                <w:sz w:val="16"/>
                <w:szCs w:val="16"/>
                <w:lang w:eastAsia="it-IT"/>
              </w:rPr>
              <w:t>n. dipendenti</w:t>
            </w:r>
          </w:p>
        </w:tc>
        <w:tc>
          <w:tcPr>
            <w:tcW w:w="1701" w:type="dxa"/>
            <w:tcBorders>
              <w:top w:val="nil"/>
              <w:left w:val="nil"/>
              <w:bottom w:val="single" w:sz="4" w:space="0" w:color="auto"/>
              <w:right w:val="single" w:sz="4" w:space="0" w:color="auto"/>
            </w:tcBorders>
            <w:shd w:val="clear" w:color="000000" w:fill="3366FF"/>
            <w:noWrap/>
            <w:vAlign w:val="bottom"/>
            <w:hideMark/>
          </w:tcPr>
          <w:p w:rsidR="00E6628E" w:rsidRPr="00BF5CE5" w:rsidRDefault="00E6628E" w:rsidP="00563141">
            <w:pPr>
              <w:jc w:val="center"/>
              <w:rPr>
                <w:rFonts w:ascii="Arial" w:hAnsi="Arial" w:cs="Arial"/>
                <w:color w:val="000000"/>
                <w:sz w:val="16"/>
                <w:szCs w:val="16"/>
                <w:lang w:eastAsia="it-IT"/>
              </w:rPr>
            </w:pPr>
            <w:r w:rsidRPr="00BF5CE5">
              <w:rPr>
                <w:rFonts w:ascii="Arial" w:hAnsi="Arial" w:cs="Arial"/>
                <w:color w:val="000000"/>
                <w:sz w:val="16"/>
                <w:szCs w:val="16"/>
                <w:lang w:eastAsia="it-IT"/>
              </w:rPr>
              <w:t>1</w:t>
            </w:r>
          </w:p>
        </w:tc>
        <w:tc>
          <w:tcPr>
            <w:tcW w:w="1491" w:type="dxa"/>
            <w:tcBorders>
              <w:top w:val="nil"/>
              <w:left w:val="nil"/>
              <w:bottom w:val="single" w:sz="4" w:space="0" w:color="auto"/>
              <w:right w:val="single" w:sz="4" w:space="0" w:color="auto"/>
            </w:tcBorders>
            <w:shd w:val="clear" w:color="000000" w:fill="3366FF"/>
            <w:noWrap/>
            <w:vAlign w:val="bottom"/>
            <w:hideMark/>
          </w:tcPr>
          <w:p w:rsidR="00E6628E" w:rsidRPr="00BF5CE5" w:rsidRDefault="00E6628E" w:rsidP="00563141">
            <w:pPr>
              <w:jc w:val="center"/>
              <w:rPr>
                <w:rFonts w:ascii="Arial" w:hAnsi="Arial" w:cs="Arial"/>
                <w:color w:val="000000"/>
                <w:sz w:val="16"/>
                <w:szCs w:val="16"/>
                <w:lang w:eastAsia="it-IT"/>
              </w:rPr>
            </w:pPr>
            <w:r w:rsidRPr="00BF5CE5">
              <w:rPr>
                <w:rFonts w:ascii="Arial" w:hAnsi="Arial" w:cs="Arial"/>
                <w:color w:val="000000"/>
                <w:sz w:val="16"/>
                <w:szCs w:val="16"/>
                <w:lang w:eastAsia="it-IT"/>
              </w:rPr>
              <w:t>4</w:t>
            </w:r>
          </w:p>
        </w:tc>
        <w:tc>
          <w:tcPr>
            <w:tcW w:w="1060" w:type="dxa"/>
            <w:tcBorders>
              <w:top w:val="nil"/>
              <w:left w:val="nil"/>
              <w:bottom w:val="single" w:sz="4" w:space="0" w:color="auto"/>
              <w:right w:val="single" w:sz="4" w:space="0" w:color="auto"/>
            </w:tcBorders>
            <w:shd w:val="clear" w:color="000000" w:fill="3366FF"/>
            <w:noWrap/>
            <w:vAlign w:val="bottom"/>
            <w:hideMark/>
          </w:tcPr>
          <w:p w:rsidR="00E6628E" w:rsidRPr="00BF5CE5" w:rsidRDefault="00E6628E" w:rsidP="00563141">
            <w:pPr>
              <w:jc w:val="center"/>
              <w:rPr>
                <w:rFonts w:ascii="Arial" w:hAnsi="Arial" w:cs="Arial"/>
                <w:color w:val="000000"/>
                <w:sz w:val="16"/>
                <w:szCs w:val="16"/>
                <w:lang w:eastAsia="it-IT"/>
              </w:rPr>
            </w:pPr>
            <w:r w:rsidRPr="00BF5CE5">
              <w:rPr>
                <w:rFonts w:ascii="Arial" w:hAnsi="Arial" w:cs="Arial"/>
                <w:color w:val="000000"/>
                <w:sz w:val="16"/>
                <w:szCs w:val="16"/>
                <w:lang w:eastAsia="it-IT"/>
              </w:rPr>
              <w:t>241</w:t>
            </w:r>
          </w:p>
        </w:tc>
        <w:tc>
          <w:tcPr>
            <w:tcW w:w="1112" w:type="dxa"/>
            <w:tcBorders>
              <w:top w:val="nil"/>
              <w:left w:val="nil"/>
              <w:bottom w:val="single" w:sz="4" w:space="0" w:color="auto"/>
              <w:right w:val="single" w:sz="8" w:space="0" w:color="auto"/>
            </w:tcBorders>
            <w:shd w:val="clear" w:color="000000" w:fill="3366FF"/>
            <w:noWrap/>
            <w:vAlign w:val="bottom"/>
            <w:hideMark/>
          </w:tcPr>
          <w:p w:rsidR="00E6628E" w:rsidRPr="00BF5CE5" w:rsidRDefault="00E6628E" w:rsidP="00563141">
            <w:pPr>
              <w:jc w:val="center"/>
              <w:rPr>
                <w:rFonts w:ascii="Arial" w:hAnsi="Arial" w:cs="Arial"/>
                <w:color w:val="000000"/>
                <w:sz w:val="16"/>
                <w:szCs w:val="16"/>
                <w:lang w:eastAsia="it-IT"/>
              </w:rPr>
            </w:pPr>
            <w:r w:rsidRPr="00BF5CE5">
              <w:rPr>
                <w:rFonts w:ascii="Arial" w:hAnsi="Arial" w:cs="Arial"/>
                <w:color w:val="000000"/>
                <w:sz w:val="16"/>
                <w:szCs w:val="16"/>
                <w:lang w:eastAsia="it-IT"/>
              </w:rPr>
              <w:t>42</w:t>
            </w:r>
          </w:p>
        </w:tc>
      </w:tr>
      <w:tr w:rsidR="00E6628E" w:rsidRPr="00BF5CE5" w:rsidTr="00563141">
        <w:trPr>
          <w:trHeight w:val="285"/>
        </w:trPr>
        <w:tc>
          <w:tcPr>
            <w:tcW w:w="1291" w:type="dxa"/>
            <w:vMerge/>
            <w:tcBorders>
              <w:top w:val="nil"/>
              <w:left w:val="single" w:sz="8" w:space="0" w:color="auto"/>
              <w:bottom w:val="single" w:sz="8" w:space="0" w:color="000000"/>
              <w:right w:val="single" w:sz="4" w:space="0" w:color="auto"/>
            </w:tcBorders>
            <w:vAlign w:val="center"/>
            <w:hideMark/>
          </w:tcPr>
          <w:p w:rsidR="00E6628E" w:rsidRPr="00BF5CE5" w:rsidRDefault="00E6628E" w:rsidP="00563141">
            <w:pPr>
              <w:rPr>
                <w:rFonts w:ascii="Arial" w:hAnsi="Arial" w:cs="Arial"/>
                <w:sz w:val="16"/>
                <w:szCs w:val="16"/>
                <w:lang w:eastAsia="it-IT"/>
              </w:rPr>
            </w:pPr>
          </w:p>
        </w:tc>
        <w:tc>
          <w:tcPr>
            <w:tcW w:w="2400" w:type="dxa"/>
            <w:gridSpan w:val="2"/>
            <w:vMerge/>
            <w:tcBorders>
              <w:top w:val="single" w:sz="8" w:space="0" w:color="auto"/>
              <w:left w:val="single" w:sz="8" w:space="0" w:color="auto"/>
              <w:bottom w:val="single" w:sz="8" w:space="0" w:color="000000"/>
              <w:right w:val="single" w:sz="4" w:space="0" w:color="000000"/>
            </w:tcBorders>
            <w:vAlign w:val="center"/>
            <w:hideMark/>
          </w:tcPr>
          <w:p w:rsidR="00E6628E" w:rsidRPr="00BF5CE5" w:rsidRDefault="00E6628E" w:rsidP="00563141">
            <w:pPr>
              <w:rPr>
                <w:rFonts w:ascii="Arial" w:hAnsi="Arial" w:cs="Arial"/>
                <w:b/>
                <w:bCs/>
                <w:sz w:val="16"/>
                <w:szCs w:val="16"/>
                <w:lang w:eastAsia="it-IT"/>
              </w:rPr>
            </w:pPr>
          </w:p>
        </w:tc>
        <w:tc>
          <w:tcPr>
            <w:tcW w:w="1002" w:type="dxa"/>
            <w:tcBorders>
              <w:top w:val="nil"/>
              <w:left w:val="nil"/>
              <w:bottom w:val="single" w:sz="8" w:space="0" w:color="auto"/>
              <w:right w:val="single" w:sz="4" w:space="0" w:color="auto"/>
            </w:tcBorders>
            <w:shd w:val="clear" w:color="000000" w:fill="3366FF"/>
            <w:noWrap/>
            <w:vAlign w:val="bottom"/>
            <w:hideMark/>
          </w:tcPr>
          <w:p w:rsidR="00E6628E" w:rsidRPr="00BF5CE5" w:rsidRDefault="00E6628E" w:rsidP="00563141">
            <w:pPr>
              <w:jc w:val="center"/>
              <w:rPr>
                <w:rFonts w:ascii="Arial" w:hAnsi="Arial" w:cs="Arial"/>
                <w:sz w:val="16"/>
                <w:szCs w:val="16"/>
                <w:lang w:eastAsia="it-IT"/>
              </w:rPr>
            </w:pPr>
            <w:r w:rsidRPr="00BF5CE5">
              <w:rPr>
                <w:rFonts w:ascii="Arial" w:hAnsi="Arial" w:cs="Arial"/>
                <w:sz w:val="16"/>
                <w:szCs w:val="16"/>
                <w:lang w:eastAsia="it-IT"/>
              </w:rPr>
              <w:t>%</w:t>
            </w:r>
          </w:p>
        </w:tc>
        <w:tc>
          <w:tcPr>
            <w:tcW w:w="1701" w:type="dxa"/>
            <w:tcBorders>
              <w:top w:val="nil"/>
              <w:left w:val="nil"/>
              <w:bottom w:val="single" w:sz="8" w:space="0" w:color="auto"/>
              <w:right w:val="single" w:sz="4" w:space="0" w:color="auto"/>
            </w:tcBorders>
            <w:shd w:val="clear" w:color="000000" w:fill="3366FF"/>
            <w:noWrap/>
            <w:vAlign w:val="bottom"/>
            <w:hideMark/>
          </w:tcPr>
          <w:p w:rsidR="00E6628E" w:rsidRPr="00BF5CE5" w:rsidRDefault="00E6628E" w:rsidP="00563141">
            <w:pPr>
              <w:jc w:val="center"/>
              <w:rPr>
                <w:rFonts w:ascii="Arial" w:hAnsi="Arial" w:cs="Arial"/>
                <w:color w:val="000000"/>
                <w:sz w:val="16"/>
                <w:szCs w:val="16"/>
                <w:lang w:eastAsia="it-IT"/>
              </w:rPr>
            </w:pPr>
            <w:r w:rsidRPr="00BF5CE5">
              <w:rPr>
                <w:rFonts w:ascii="Arial" w:hAnsi="Arial" w:cs="Arial"/>
                <w:color w:val="000000"/>
                <w:sz w:val="16"/>
                <w:szCs w:val="16"/>
                <w:lang w:eastAsia="it-IT"/>
              </w:rPr>
              <w:t>0,35%</w:t>
            </w:r>
          </w:p>
        </w:tc>
        <w:tc>
          <w:tcPr>
            <w:tcW w:w="1491" w:type="dxa"/>
            <w:tcBorders>
              <w:top w:val="nil"/>
              <w:left w:val="nil"/>
              <w:bottom w:val="single" w:sz="8" w:space="0" w:color="auto"/>
              <w:right w:val="single" w:sz="4" w:space="0" w:color="auto"/>
            </w:tcBorders>
            <w:shd w:val="clear" w:color="000000" w:fill="3366FF"/>
            <w:noWrap/>
            <w:vAlign w:val="bottom"/>
            <w:hideMark/>
          </w:tcPr>
          <w:p w:rsidR="00E6628E" w:rsidRPr="00BF5CE5" w:rsidRDefault="00E6628E" w:rsidP="00563141">
            <w:pPr>
              <w:jc w:val="center"/>
              <w:rPr>
                <w:rFonts w:ascii="Arial" w:hAnsi="Arial" w:cs="Arial"/>
                <w:color w:val="000000"/>
                <w:sz w:val="16"/>
                <w:szCs w:val="16"/>
                <w:lang w:eastAsia="it-IT"/>
              </w:rPr>
            </w:pPr>
            <w:r w:rsidRPr="00BF5CE5">
              <w:rPr>
                <w:rFonts w:ascii="Arial" w:hAnsi="Arial" w:cs="Arial"/>
                <w:color w:val="000000"/>
                <w:sz w:val="16"/>
                <w:szCs w:val="16"/>
                <w:lang w:eastAsia="it-IT"/>
              </w:rPr>
              <w:t>1,41%</w:t>
            </w:r>
          </w:p>
        </w:tc>
        <w:tc>
          <w:tcPr>
            <w:tcW w:w="1060" w:type="dxa"/>
            <w:tcBorders>
              <w:top w:val="nil"/>
              <w:left w:val="nil"/>
              <w:bottom w:val="single" w:sz="8" w:space="0" w:color="auto"/>
              <w:right w:val="single" w:sz="4" w:space="0" w:color="auto"/>
            </w:tcBorders>
            <w:shd w:val="clear" w:color="000000" w:fill="3366FF"/>
            <w:noWrap/>
            <w:vAlign w:val="bottom"/>
            <w:hideMark/>
          </w:tcPr>
          <w:p w:rsidR="00E6628E" w:rsidRPr="00BF5CE5" w:rsidRDefault="00E6628E" w:rsidP="00563141">
            <w:pPr>
              <w:jc w:val="center"/>
              <w:rPr>
                <w:rFonts w:ascii="Arial" w:hAnsi="Arial" w:cs="Arial"/>
                <w:color w:val="000000"/>
                <w:sz w:val="16"/>
                <w:szCs w:val="16"/>
                <w:lang w:eastAsia="it-IT"/>
              </w:rPr>
            </w:pPr>
            <w:r w:rsidRPr="00BF5CE5">
              <w:rPr>
                <w:rFonts w:ascii="Arial" w:hAnsi="Arial" w:cs="Arial"/>
                <w:color w:val="000000"/>
                <w:sz w:val="16"/>
                <w:szCs w:val="16"/>
                <w:lang w:eastAsia="it-IT"/>
              </w:rPr>
              <w:t>83,68%</w:t>
            </w:r>
          </w:p>
        </w:tc>
        <w:tc>
          <w:tcPr>
            <w:tcW w:w="1112" w:type="dxa"/>
            <w:tcBorders>
              <w:top w:val="nil"/>
              <w:left w:val="nil"/>
              <w:bottom w:val="single" w:sz="8" w:space="0" w:color="auto"/>
              <w:right w:val="single" w:sz="8" w:space="0" w:color="auto"/>
            </w:tcBorders>
            <w:shd w:val="clear" w:color="000000" w:fill="3366FF"/>
            <w:noWrap/>
            <w:vAlign w:val="bottom"/>
            <w:hideMark/>
          </w:tcPr>
          <w:p w:rsidR="00E6628E" w:rsidRPr="00BF5CE5" w:rsidRDefault="00E6628E" w:rsidP="00563141">
            <w:pPr>
              <w:jc w:val="center"/>
              <w:rPr>
                <w:rFonts w:ascii="Arial" w:hAnsi="Arial" w:cs="Arial"/>
                <w:color w:val="000000"/>
                <w:sz w:val="16"/>
                <w:szCs w:val="16"/>
                <w:lang w:eastAsia="it-IT"/>
              </w:rPr>
            </w:pPr>
            <w:r w:rsidRPr="00BF5CE5">
              <w:rPr>
                <w:rFonts w:ascii="Arial" w:hAnsi="Arial" w:cs="Arial"/>
                <w:color w:val="000000"/>
                <w:sz w:val="16"/>
                <w:szCs w:val="16"/>
                <w:lang w:eastAsia="it-IT"/>
              </w:rPr>
              <w:t>14,73%</w:t>
            </w:r>
          </w:p>
        </w:tc>
      </w:tr>
    </w:tbl>
    <w:p w:rsidR="002C5959" w:rsidRPr="002C5959" w:rsidRDefault="002C5959" w:rsidP="00E6628E">
      <w:pPr>
        <w:spacing w:line="360" w:lineRule="auto"/>
        <w:ind w:right="141"/>
        <w:jc w:val="both"/>
        <w:rPr>
          <w:b/>
        </w:rPr>
      </w:pPr>
      <w:proofErr w:type="spellStart"/>
      <w:r w:rsidRPr="002C5959">
        <w:rPr>
          <w:b/>
        </w:rPr>
        <w:t>Tab</w:t>
      </w:r>
      <w:proofErr w:type="spellEnd"/>
      <w:r w:rsidRPr="002C5959">
        <w:rPr>
          <w:b/>
        </w:rPr>
        <w:t xml:space="preserve"> 5)</w:t>
      </w:r>
    </w:p>
    <w:tbl>
      <w:tblPr>
        <w:tblW w:w="10086" w:type="dxa"/>
        <w:tblInd w:w="55" w:type="dxa"/>
        <w:tblCellMar>
          <w:left w:w="70" w:type="dxa"/>
          <w:right w:w="70" w:type="dxa"/>
        </w:tblCellMar>
        <w:tblLook w:val="04A0"/>
      </w:tblPr>
      <w:tblGrid>
        <w:gridCol w:w="1636"/>
        <w:gridCol w:w="1002"/>
        <w:gridCol w:w="1064"/>
        <w:gridCol w:w="1373"/>
        <w:gridCol w:w="1616"/>
        <w:gridCol w:w="1217"/>
        <w:gridCol w:w="1063"/>
        <w:gridCol w:w="1115"/>
      </w:tblGrid>
      <w:tr w:rsidR="0001645C" w:rsidRPr="006B16AB" w:rsidTr="003056EA">
        <w:trPr>
          <w:trHeight w:val="489"/>
        </w:trPr>
        <w:tc>
          <w:tcPr>
            <w:tcW w:w="1636" w:type="dxa"/>
            <w:tcBorders>
              <w:top w:val="single" w:sz="8" w:space="0" w:color="auto"/>
              <w:left w:val="single" w:sz="8" w:space="0" w:color="auto"/>
              <w:bottom w:val="single" w:sz="4" w:space="0" w:color="auto"/>
              <w:right w:val="nil"/>
            </w:tcBorders>
            <w:shd w:val="clear" w:color="auto" w:fill="auto"/>
            <w:vAlign w:val="center"/>
            <w:hideMark/>
          </w:tcPr>
          <w:p w:rsidR="0001645C" w:rsidRPr="006B16AB" w:rsidRDefault="0001645C" w:rsidP="003056EA">
            <w:pPr>
              <w:jc w:val="center"/>
              <w:rPr>
                <w:rFonts w:ascii="Arial" w:hAnsi="Arial" w:cs="Arial"/>
                <w:sz w:val="16"/>
                <w:szCs w:val="16"/>
                <w:lang w:eastAsia="it-IT"/>
              </w:rPr>
            </w:pPr>
            <w:r w:rsidRPr="006B16AB">
              <w:rPr>
                <w:rFonts w:ascii="Arial" w:hAnsi="Arial" w:cs="Arial"/>
                <w:sz w:val="16"/>
                <w:szCs w:val="16"/>
                <w:lang w:eastAsia="it-IT"/>
              </w:rPr>
              <w:t>tot. dipendenti valutati nel 2022</w:t>
            </w:r>
          </w:p>
        </w:tc>
        <w:tc>
          <w:tcPr>
            <w:tcW w:w="1002" w:type="dxa"/>
            <w:tcBorders>
              <w:top w:val="single" w:sz="8" w:space="0" w:color="auto"/>
              <w:left w:val="single" w:sz="8" w:space="0" w:color="auto"/>
              <w:bottom w:val="nil"/>
              <w:right w:val="nil"/>
            </w:tcBorders>
            <w:shd w:val="clear" w:color="auto" w:fill="auto"/>
            <w:vAlign w:val="center"/>
            <w:hideMark/>
          </w:tcPr>
          <w:p w:rsidR="0001645C" w:rsidRPr="006B16AB" w:rsidRDefault="0001645C" w:rsidP="003056EA">
            <w:pPr>
              <w:jc w:val="center"/>
              <w:rPr>
                <w:rFonts w:ascii="Arial" w:hAnsi="Arial" w:cs="Arial"/>
                <w:sz w:val="16"/>
                <w:szCs w:val="16"/>
                <w:lang w:eastAsia="it-IT"/>
              </w:rPr>
            </w:pPr>
            <w:r w:rsidRPr="006B16AB">
              <w:rPr>
                <w:rFonts w:ascii="Arial" w:hAnsi="Arial" w:cs="Arial"/>
                <w:sz w:val="16"/>
                <w:szCs w:val="16"/>
                <w:lang w:eastAsia="it-IT"/>
              </w:rPr>
              <w:t> </w:t>
            </w:r>
          </w:p>
        </w:tc>
        <w:tc>
          <w:tcPr>
            <w:tcW w:w="1064" w:type="dxa"/>
            <w:tcBorders>
              <w:top w:val="single" w:sz="8" w:space="0" w:color="auto"/>
              <w:left w:val="single" w:sz="4" w:space="0" w:color="auto"/>
              <w:bottom w:val="nil"/>
              <w:right w:val="nil"/>
            </w:tcBorders>
            <w:shd w:val="clear" w:color="auto" w:fill="auto"/>
            <w:vAlign w:val="center"/>
            <w:hideMark/>
          </w:tcPr>
          <w:p w:rsidR="0001645C" w:rsidRPr="006B16AB" w:rsidRDefault="0001645C" w:rsidP="003056EA">
            <w:pPr>
              <w:jc w:val="center"/>
              <w:rPr>
                <w:rFonts w:ascii="Arial" w:hAnsi="Arial" w:cs="Arial"/>
                <w:sz w:val="16"/>
                <w:szCs w:val="16"/>
                <w:lang w:eastAsia="it-IT"/>
              </w:rPr>
            </w:pPr>
            <w:r w:rsidRPr="006B16AB">
              <w:rPr>
                <w:rFonts w:ascii="Arial" w:hAnsi="Arial" w:cs="Arial"/>
                <w:sz w:val="16"/>
                <w:szCs w:val="16"/>
                <w:lang w:eastAsia="it-IT"/>
              </w:rPr>
              <w:t> </w:t>
            </w:r>
          </w:p>
        </w:tc>
        <w:tc>
          <w:tcPr>
            <w:tcW w:w="6383"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1645C" w:rsidRPr="006B16AB" w:rsidRDefault="0001645C" w:rsidP="003056EA">
            <w:pPr>
              <w:jc w:val="center"/>
              <w:rPr>
                <w:rFonts w:ascii="Arial" w:hAnsi="Arial" w:cs="Arial"/>
                <w:sz w:val="16"/>
                <w:szCs w:val="16"/>
                <w:lang w:eastAsia="it-IT"/>
              </w:rPr>
            </w:pPr>
            <w:r w:rsidRPr="006B16AB">
              <w:rPr>
                <w:rFonts w:ascii="Arial" w:hAnsi="Arial" w:cs="Arial"/>
                <w:sz w:val="16"/>
                <w:szCs w:val="16"/>
                <w:lang w:eastAsia="it-IT"/>
              </w:rPr>
              <w:t xml:space="preserve">FASCE </w:t>
            </w:r>
            <w:proofErr w:type="spellStart"/>
            <w:r w:rsidRPr="006B16AB">
              <w:rPr>
                <w:rFonts w:ascii="Arial" w:hAnsi="Arial" w:cs="Arial"/>
                <w:sz w:val="16"/>
                <w:szCs w:val="16"/>
                <w:lang w:eastAsia="it-IT"/>
              </w:rPr>
              <w:t>DI</w:t>
            </w:r>
            <w:proofErr w:type="spellEnd"/>
            <w:r w:rsidRPr="006B16AB">
              <w:rPr>
                <w:rFonts w:ascii="Arial" w:hAnsi="Arial" w:cs="Arial"/>
                <w:sz w:val="16"/>
                <w:szCs w:val="16"/>
                <w:lang w:eastAsia="it-IT"/>
              </w:rPr>
              <w:t xml:space="preserve"> VALUTAZIONE</w:t>
            </w:r>
          </w:p>
        </w:tc>
      </w:tr>
      <w:tr w:rsidR="0001645C" w:rsidRPr="006B16AB" w:rsidTr="003056EA">
        <w:trPr>
          <w:trHeight w:val="726"/>
        </w:trPr>
        <w:tc>
          <w:tcPr>
            <w:tcW w:w="1636"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01645C" w:rsidRPr="006B16AB" w:rsidRDefault="0001645C" w:rsidP="003056EA">
            <w:pPr>
              <w:jc w:val="center"/>
              <w:rPr>
                <w:rFonts w:ascii="Arial" w:hAnsi="Arial" w:cs="Arial"/>
                <w:sz w:val="16"/>
                <w:szCs w:val="16"/>
                <w:lang w:eastAsia="it-IT"/>
              </w:rPr>
            </w:pPr>
            <w:r w:rsidRPr="006B16AB">
              <w:rPr>
                <w:rFonts w:ascii="Arial" w:hAnsi="Arial" w:cs="Arial"/>
                <w:sz w:val="16"/>
                <w:szCs w:val="16"/>
                <w:lang w:eastAsia="it-IT"/>
              </w:rPr>
              <w:t>284</w:t>
            </w:r>
          </w:p>
        </w:tc>
        <w:tc>
          <w:tcPr>
            <w:tcW w:w="1002" w:type="dxa"/>
            <w:tcBorders>
              <w:top w:val="single" w:sz="4" w:space="0" w:color="auto"/>
              <w:left w:val="single" w:sz="8" w:space="0" w:color="auto"/>
              <w:bottom w:val="nil"/>
              <w:right w:val="single" w:sz="4" w:space="0" w:color="auto"/>
            </w:tcBorders>
            <w:shd w:val="clear" w:color="auto" w:fill="auto"/>
            <w:noWrap/>
            <w:vAlign w:val="center"/>
            <w:hideMark/>
          </w:tcPr>
          <w:p w:rsidR="0001645C" w:rsidRPr="006B16AB" w:rsidRDefault="0001645C" w:rsidP="003056EA">
            <w:pPr>
              <w:jc w:val="center"/>
              <w:rPr>
                <w:rFonts w:ascii="Arial" w:hAnsi="Arial" w:cs="Arial"/>
                <w:sz w:val="16"/>
                <w:szCs w:val="16"/>
                <w:lang w:eastAsia="it-IT"/>
              </w:rPr>
            </w:pPr>
            <w:r w:rsidRPr="006B16AB">
              <w:rPr>
                <w:rFonts w:ascii="Arial" w:hAnsi="Arial" w:cs="Arial"/>
                <w:sz w:val="16"/>
                <w:szCs w:val="16"/>
                <w:lang w:eastAsia="it-IT"/>
              </w:rPr>
              <w:t>cat.</w:t>
            </w:r>
          </w:p>
        </w:tc>
        <w:tc>
          <w:tcPr>
            <w:tcW w:w="1064" w:type="dxa"/>
            <w:tcBorders>
              <w:top w:val="single" w:sz="4" w:space="0" w:color="auto"/>
              <w:left w:val="nil"/>
              <w:bottom w:val="nil"/>
              <w:right w:val="single" w:sz="4" w:space="0" w:color="auto"/>
            </w:tcBorders>
            <w:shd w:val="clear" w:color="auto" w:fill="auto"/>
            <w:vAlign w:val="center"/>
            <w:hideMark/>
          </w:tcPr>
          <w:p w:rsidR="0001645C" w:rsidRPr="006B16AB" w:rsidRDefault="0001645C" w:rsidP="003056EA">
            <w:pPr>
              <w:rPr>
                <w:rFonts w:ascii="Arial" w:hAnsi="Arial" w:cs="Arial"/>
                <w:sz w:val="16"/>
                <w:szCs w:val="16"/>
                <w:lang w:eastAsia="it-IT"/>
              </w:rPr>
            </w:pPr>
            <w:proofErr w:type="spellStart"/>
            <w:r w:rsidRPr="006B16AB">
              <w:rPr>
                <w:rFonts w:ascii="Arial" w:hAnsi="Arial" w:cs="Arial"/>
                <w:sz w:val="16"/>
                <w:szCs w:val="16"/>
                <w:lang w:eastAsia="it-IT"/>
              </w:rPr>
              <w:t>n.dipendenti</w:t>
            </w:r>
            <w:proofErr w:type="spellEnd"/>
            <w:r w:rsidRPr="006B16AB">
              <w:rPr>
                <w:rFonts w:ascii="Arial" w:hAnsi="Arial" w:cs="Arial"/>
                <w:sz w:val="16"/>
                <w:szCs w:val="16"/>
                <w:lang w:eastAsia="it-IT"/>
              </w:rPr>
              <w:t xml:space="preserve"> per categoria  </w:t>
            </w:r>
          </w:p>
        </w:tc>
        <w:tc>
          <w:tcPr>
            <w:tcW w:w="1373" w:type="dxa"/>
            <w:tcBorders>
              <w:top w:val="nil"/>
              <w:left w:val="nil"/>
              <w:bottom w:val="nil"/>
              <w:right w:val="single" w:sz="4" w:space="0" w:color="auto"/>
            </w:tcBorders>
            <w:shd w:val="clear" w:color="auto" w:fill="auto"/>
            <w:noWrap/>
            <w:vAlign w:val="bottom"/>
            <w:hideMark/>
          </w:tcPr>
          <w:p w:rsidR="0001645C" w:rsidRPr="006B16AB" w:rsidRDefault="0001645C" w:rsidP="003056EA">
            <w:pPr>
              <w:jc w:val="center"/>
              <w:rPr>
                <w:rFonts w:ascii="Arial" w:hAnsi="Arial" w:cs="Arial"/>
                <w:sz w:val="16"/>
                <w:szCs w:val="16"/>
                <w:lang w:eastAsia="it-IT"/>
              </w:rPr>
            </w:pPr>
            <w:r w:rsidRPr="006B16AB">
              <w:rPr>
                <w:rFonts w:ascii="Arial" w:hAnsi="Arial" w:cs="Arial"/>
                <w:sz w:val="16"/>
                <w:szCs w:val="16"/>
                <w:lang w:eastAsia="it-IT"/>
              </w:rPr>
              <w:t> </w:t>
            </w:r>
          </w:p>
        </w:tc>
        <w:tc>
          <w:tcPr>
            <w:tcW w:w="1616" w:type="dxa"/>
            <w:tcBorders>
              <w:top w:val="nil"/>
              <w:left w:val="nil"/>
              <w:bottom w:val="single" w:sz="4" w:space="0" w:color="auto"/>
              <w:right w:val="single" w:sz="4" w:space="0" w:color="auto"/>
            </w:tcBorders>
            <w:shd w:val="clear" w:color="auto" w:fill="auto"/>
            <w:noWrap/>
            <w:vAlign w:val="center"/>
            <w:hideMark/>
          </w:tcPr>
          <w:p w:rsidR="0001645C" w:rsidRPr="006B16AB" w:rsidRDefault="0001645C" w:rsidP="003056EA">
            <w:pPr>
              <w:jc w:val="center"/>
              <w:rPr>
                <w:rFonts w:ascii="Arial" w:hAnsi="Arial" w:cs="Arial"/>
                <w:b/>
                <w:bCs/>
                <w:color w:val="000000"/>
                <w:sz w:val="16"/>
                <w:szCs w:val="16"/>
                <w:lang w:eastAsia="it-IT"/>
              </w:rPr>
            </w:pPr>
            <w:r w:rsidRPr="006B16AB">
              <w:rPr>
                <w:rFonts w:ascii="Arial" w:hAnsi="Arial" w:cs="Arial"/>
                <w:b/>
                <w:bCs/>
                <w:color w:val="000000"/>
                <w:sz w:val="16"/>
                <w:szCs w:val="16"/>
                <w:lang w:eastAsia="it-IT"/>
              </w:rPr>
              <w:t>Non conforme</w:t>
            </w:r>
          </w:p>
        </w:tc>
        <w:tc>
          <w:tcPr>
            <w:tcW w:w="1217" w:type="dxa"/>
            <w:tcBorders>
              <w:top w:val="nil"/>
              <w:left w:val="nil"/>
              <w:bottom w:val="nil"/>
              <w:right w:val="single" w:sz="4" w:space="0" w:color="auto"/>
            </w:tcBorders>
            <w:shd w:val="clear" w:color="auto" w:fill="auto"/>
            <w:noWrap/>
            <w:vAlign w:val="center"/>
            <w:hideMark/>
          </w:tcPr>
          <w:p w:rsidR="0001645C" w:rsidRPr="006B16AB" w:rsidRDefault="0001645C" w:rsidP="003056EA">
            <w:pPr>
              <w:jc w:val="center"/>
              <w:rPr>
                <w:rFonts w:ascii="Arial" w:hAnsi="Arial" w:cs="Arial"/>
                <w:color w:val="000000"/>
                <w:sz w:val="16"/>
                <w:szCs w:val="16"/>
                <w:lang w:eastAsia="it-IT"/>
              </w:rPr>
            </w:pPr>
            <w:r w:rsidRPr="006B16AB">
              <w:rPr>
                <w:rFonts w:ascii="Arial" w:hAnsi="Arial" w:cs="Arial"/>
                <w:color w:val="000000"/>
                <w:sz w:val="16"/>
                <w:szCs w:val="16"/>
                <w:lang w:eastAsia="it-IT"/>
              </w:rPr>
              <w:t>Migliorabile</w:t>
            </w:r>
          </w:p>
        </w:tc>
        <w:tc>
          <w:tcPr>
            <w:tcW w:w="1063" w:type="dxa"/>
            <w:tcBorders>
              <w:top w:val="nil"/>
              <w:left w:val="nil"/>
              <w:bottom w:val="nil"/>
              <w:right w:val="single" w:sz="4" w:space="0" w:color="auto"/>
            </w:tcBorders>
            <w:shd w:val="clear" w:color="auto" w:fill="auto"/>
            <w:noWrap/>
            <w:vAlign w:val="center"/>
            <w:hideMark/>
          </w:tcPr>
          <w:p w:rsidR="0001645C" w:rsidRPr="006B16AB" w:rsidRDefault="0001645C" w:rsidP="003056EA">
            <w:pPr>
              <w:jc w:val="center"/>
              <w:rPr>
                <w:rFonts w:ascii="Arial" w:hAnsi="Arial" w:cs="Arial"/>
                <w:color w:val="000000"/>
                <w:sz w:val="16"/>
                <w:szCs w:val="16"/>
                <w:lang w:eastAsia="it-IT"/>
              </w:rPr>
            </w:pPr>
            <w:r w:rsidRPr="006B16AB">
              <w:rPr>
                <w:rFonts w:ascii="Arial" w:hAnsi="Arial" w:cs="Arial"/>
                <w:color w:val="000000"/>
                <w:sz w:val="16"/>
                <w:szCs w:val="16"/>
                <w:lang w:eastAsia="it-IT"/>
              </w:rPr>
              <w:t>Conforme</w:t>
            </w:r>
          </w:p>
        </w:tc>
        <w:tc>
          <w:tcPr>
            <w:tcW w:w="1115" w:type="dxa"/>
            <w:tcBorders>
              <w:top w:val="nil"/>
              <w:left w:val="nil"/>
              <w:bottom w:val="nil"/>
              <w:right w:val="single" w:sz="8" w:space="0" w:color="auto"/>
            </w:tcBorders>
            <w:shd w:val="clear" w:color="auto" w:fill="auto"/>
            <w:noWrap/>
            <w:vAlign w:val="center"/>
            <w:hideMark/>
          </w:tcPr>
          <w:p w:rsidR="0001645C" w:rsidRPr="006B16AB" w:rsidRDefault="0001645C" w:rsidP="003056EA">
            <w:pPr>
              <w:jc w:val="center"/>
              <w:rPr>
                <w:rFonts w:ascii="Arial" w:hAnsi="Arial" w:cs="Arial"/>
                <w:color w:val="000000"/>
                <w:sz w:val="16"/>
                <w:szCs w:val="16"/>
                <w:lang w:eastAsia="it-IT"/>
              </w:rPr>
            </w:pPr>
            <w:r w:rsidRPr="006B16AB">
              <w:rPr>
                <w:rFonts w:ascii="Arial" w:hAnsi="Arial" w:cs="Arial"/>
                <w:color w:val="000000"/>
                <w:sz w:val="16"/>
                <w:szCs w:val="16"/>
                <w:lang w:eastAsia="it-IT"/>
              </w:rPr>
              <w:t>Eccellente</w:t>
            </w:r>
          </w:p>
        </w:tc>
      </w:tr>
      <w:tr w:rsidR="0001645C" w:rsidRPr="006B16AB" w:rsidTr="003056EA">
        <w:trPr>
          <w:trHeight w:val="268"/>
        </w:trPr>
        <w:tc>
          <w:tcPr>
            <w:tcW w:w="1636" w:type="dxa"/>
            <w:vMerge/>
            <w:tcBorders>
              <w:top w:val="nil"/>
              <w:left w:val="single" w:sz="8" w:space="0" w:color="auto"/>
              <w:bottom w:val="single" w:sz="8" w:space="0" w:color="000000"/>
              <w:right w:val="single" w:sz="4" w:space="0" w:color="auto"/>
            </w:tcBorders>
            <w:vAlign w:val="center"/>
            <w:hideMark/>
          </w:tcPr>
          <w:p w:rsidR="0001645C" w:rsidRPr="006B16AB" w:rsidRDefault="0001645C" w:rsidP="003056EA">
            <w:pPr>
              <w:rPr>
                <w:rFonts w:ascii="Arial" w:hAnsi="Arial" w:cs="Arial"/>
                <w:sz w:val="16"/>
                <w:szCs w:val="16"/>
                <w:lang w:eastAsia="it-IT"/>
              </w:rPr>
            </w:pPr>
          </w:p>
        </w:tc>
        <w:tc>
          <w:tcPr>
            <w:tcW w:w="1002" w:type="dxa"/>
            <w:vMerge w:val="restart"/>
            <w:tcBorders>
              <w:top w:val="single" w:sz="8" w:space="0" w:color="auto"/>
              <w:left w:val="single" w:sz="8" w:space="0" w:color="auto"/>
              <w:bottom w:val="single" w:sz="8" w:space="0" w:color="000000"/>
              <w:right w:val="single" w:sz="4" w:space="0" w:color="auto"/>
            </w:tcBorders>
            <w:shd w:val="clear" w:color="000000" w:fill="CCECFF"/>
            <w:noWrap/>
            <w:vAlign w:val="center"/>
            <w:hideMark/>
          </w:tcPr>
          <w:p w:rsidR="0001645C" w:rsidRPr="006B16AB" w:rsidRDefault="0001645C" w:rsidP="003056EA">
            <w:pPr>
              <w:jc w:val="center"/>
              <w:rPr>
                <w:rFonts w:ascii="Arial" w:hAnsi="Arial" w:cs="Arial"/>
                <w:sz w:val="16"/>
                <w:szCs w:val="16"/>
                <w:lang w:eastAsia="it-IT"/>
              </w:rPr>
            </w:pPr>
            <w:r w:rsidRPr="006B16AB">
              <w:rPr>
                <w:rFonts w:ascii="Arial" w:hAnsi="Arial" w:cs="Arial"/>
                <w:sz w:val="16"/>
                <w:szCs w:val="16"/>
                <w:lang w:eastAsia="it-IT"/>
              </w:rPr>
              <w:t>B</w:t>
            </w:r>
          </w:p>
        </w:tc>
        <w:tc>
          <w:tcPr>
            <w:tcW w:w="1064" w:type="dxa"/>
            <w:vMerge w:val="restart"/>
            <w:tcBorders>
              <w:top w:val="single" w:sz="8" w:space="0" w:color="auto"/>
              <w:left w:val="single" w:sz="4" w:space="0" w:color="auto"/>
              <w:bottom w:val="single" w:sz="8" w:space="0" w:color="000000"/>
              <w:right w:val="single" w:sz="4" w:space="0" w:color="auto"/>
            </w:tcBorders>
            <w:shd w:val="clear" w:color="000000" w:fill="CCECFF"/>
            <w:noWrap/>
            <w:vAlign w:val="center"/>
            <w:hideMark/>
          </w:tcPr>
          <w:p w:rsidR="0001645C" w:rsidRPr="006B16AB" w:rsidRDefault="0001645C" w:rsidP="003056EA">
            <w:pPr>
              <w:jc w:val="center"/>
              <w:rPr>
                <w:rFonts w:ascii="Arial" w:hAnsi="Arial" w:cs="Arial"/>
                <w:sz w:val="16"/>
                <w:szCs w:val="16"/>
                <w:lang w:eastAsia="it-IT"/>
              </w:rPr>
            </w:pPr>
            <w:r w:rsidRPr="006B16AB">
              <w:rPr>
                <w:rFonts w:ascii="Arial" w:hAnsi="Arial" w:cs="Arial"/>
                <w:sz w:val="16"/>
                <w:szCs w:val="16"/>
                <w:lang w:eastAsia="it-IT"/>
              </w:rPr>
              <w:t>70</w:t>
            </w:r>
          </w:p>
        </w:tc>
        <w:tc>
          <w:tcPr>
            <w:tcW w:w="1373" w:type="dxa"/>
            <w:tcBorders>
              <w:top w:val="single" w:sz="8" w:space="0" w:color="auto"/>
              <w:left w:val="nil"/>
              <w:bottom w:val="single" w:sz="4" w:space="0" w:color="auto"/>
              <w:right w:val="single" w:sz="4" w:space="0" w:color="auto"/>
            </w:tcBorders>
            <w:shd w:val="clear" w:color="000000" w:fill="CCECFF"/>
            <w:noWrap/>
            <w:vAlign w:val="bottom"/>
            <w:hideMark/>
          </w:tcPr>
          <w:p w:rsidR="0001645C" w:rsidRPr="006B16AB" w:rsidRDefault="0001645C" w:rsidP="003056EA">
            <w:pPr>
              <w:jc w:val="center"/>
              <w:rPr>
                <w:rFonts w:ascii="Arial" w:hAnsi="Arial" w:cs="Arial"/>
                <w:sz w:val="16"/>
                <w:szCs w:val="16"/>
                <w:lang w:eastAsia="it-IT"/>
              </w:rPr>
            </w:pPr>
            <w:r w:rsidRPr="006B16AB">
              <w:rPr>
                <w:rFonts w:ascii="Arial" w:hAnsi="Arial" w:cs="Arial"/>
                <w:sz w:val="16"/>
                <w:szCs w:val="16"/>
                <w:lang w:eastAsia="it-IT"/>
              </w:rPr>
              <w:t>n. dipendenti</w:t>
            </w:r>
          </w:p>
        </w:tc>
        <w:tc>
          <w:tcPr>
            <w:tcW w:w="1616" w:type="dxa"/>
            <w:tcBorders>
              <w:top w:val="nil"/>
              <w:left w:val="nil"/>
              <w:bottom w:val="single" w:sz="4" w:space="0" w:color="auto"/>
              <w:right w:val="single" w:sz="4" w:space="0" w:color="auto"/>
            </w:tcBorders>
            <w:shd w:val="clear" w:color="000000" w:fill="CCECFF"/>
            <w:noWrap/>
            <w:vAlign w:val="bottom"/>
            <w:hideMark/>
          </w:tcPr>
          <w:p w:rsidR="0001645C" w:rsidRPr="006B16AB" w:rsidRDefault="0001645C" w:rsidP="003056EA">
            <w:pPr>
              <w:jc w:val="center"/>
              <w:rPr>
                <w:rFonts w:ascii="Arial" w:hAnsi="Arial" w:cs="Arial"/>
                <w:sz w:val="16"/>
                <w:szCs w:val="16"/>
                <w:lang w:eastAsia="it-IT"/>
              </w:rPr>
            </w:pPr>
            <w:r w:rsidRPr="006B16AB">
              <w:rPr>
                <w:rFonts w:ascii="Arial" w:hAnsi="Arial" w:cs="Arial"/>
                <w:sz w:val="16"/>
                <w:szCs w:val="16"/>
                <w:lang w:eastAsia="it-IT"/>
              </w:rPr>
              <w:t>1</w:t>
            </w:r>
          </w:p>
        </w:tc>
        <w:tc>
          <w:tcPr>
            <w:tcW w:w="1217" w:type="dxa"/>
            <w:tcBorders>
              <w:top w:val="single" w:sz="8" w:space="0" w:color="auto"/>
              <w:left w:val="nil"/>
              <w:bottom w:val="single" w:sz="4" w:space="0" w:color="auto"/>
              <w:right w:val="single" w:sz="4" w:space="0" w:color="auto"/>
            </w:tcBorders>
            <w:shd w:val="clear" w:color="000000" w:fill="CCECFF"/>
            <w:noWrap/>
            <w:vAlign w:val="bottom"/>
            <w:hideMark/>
          </w:tcPr>
          <w:p w:rsidR="0001645C" w:rsidRPr="006B16AB" w:rsidRDefault="0001645C" w:rsidP="003056EA">
            <w:pPr>
              <w:jc w:val="center"/>
              <w:rPr>
                <w:rFonts w:ascii="Arial" w:hAnsi="Arial" w:cs="Arial"/>
                <w:sz w:val="16"/>
                <w:szCs w:val="16"/>
                <w:lang w:eastAsia="it-IT"/>
              </w:rPr>
            </w:pPr>
            <w:r w:rsidRPr="006B16AB">
              <w:rPr>
                <w:rFonts w:ascii="Arial" w:hAnsi="Arial" w:cs="Arial"/>
                <w:sz w:val="16"/>
                <w:szCs w:val="16"/>
                <w:lang w:eastAsia="it-IT"/>
              </w:rPr>
              <w:t>4</w:t>
            </w:r>
          </w:p>
        </w:tc>
        <w:tc>
          <w:tcPr>
            <w:tcW w:w="1063" w:type="dxa"/>
            <w:tcBorders>
              <w:top w:val="single" w:sz="8" w:space="0" w:color="auto"/>
              <w:left w:val="nil"/>
              <w:bottom w:val="single" w:sz="4" w:space="0" w:color="auto"/>
              <w:right w:val="single" w:sz="4" w:space="0" w:color="auto"/>
            </w:tcBorders>
            <w:shd w:val="clear" w:color="000000" w:fill="CCECFF"/>
            <w:noWrap/>
            <w:vAlign w:val="bottom"/>
            <w:hideMark/>
          </w:tcPr>
          <w:p w:rsidR="0001645C" w:rsidRPr="006B16AB" w:rsidRDefault="0001645C" w:rsidP="003056EA">
            <w:pPr>
              <w:jc w:val="center"/>
              <w:rPr>
                <w:rFonts w:ascii="Arial" w:hAnsi="Arial" w:cs="Arial"/>
                <w:sz w:val="16"/>
                <w:szCs w:val="16"/>
                <w:lang w:eastAsia="it-IT"/>
              </w:rPr>
            </w:pPr>
            <w:r w:rsidRPr="006B16AB">
              <w:rPr>
                <w:rFonts w:ascii="Arial" w:hAnsi="Arial" w:cs="Arial"/>
                <w:sz w:val="16"/>
                <w:szCs w:val="16"/>
                <w:lang w:eastAsia="it-IT"/>
              </w:rPr>
              <w:t>58</w:t>
            </w:r>
          </w:p>
        </w:tc>
        <w:tc>
          <w:tcPr>
            <w:tcW w:w="1115" w:type="dxa"/>
            <w:tcBorders>
              <w:top w:val="single" w:sz="8" w:space="0" w:color="auto"/>
              <w:left w:val="nil"/>
              <w:bottom w:val="single" w:sz="4" w:space="0" w:color="auto"/>
              <w:right w:val="single" w:sz="8" w:space="0" w:color="auto"/>
            </w:tcBorders>
            <w:shd w:val="clear" w:color="000000" w:fill="CCECFF"/>
            <w:noWrap/>
            <w:vAlign w:val="bottom"/>
            <w:hideMark/>
          </w:tcPr>
          <w:p w:rsidR="0001645C" w:rsidRPr="006B16AB" w:rsidRDefault="0001645C" w:rsidP="003056EA">
            <w:pPr>
              <w:jc w:val="center"/>
              <w:rPr>
                <w:rFonts w:ascii="Arial" w:hAnsi="Arial" w:cs="Arial"/>
                <w:sz w:val="16"/>
                <w:szCs w:val="16"/>
                <w:lang w:eastAsia="it-IT"/>
              </w:rPr>
            </w:pPr>
            <w:r w:rsidRPr="006B16AB">
              <w:rPr>
                <w:rFonts w:ascii="Arial" w:hAnsi="Arial" w:cs="Arial"/>
                <w:sz w:val="16"/>
                <w:szCs w:val="16"/>
                <w:lang w:eastAsia="it-IT"/>
              </w:rPr>
              <w:t>7</w:t>
            </w:r>
          </w:p>
        </w:tc>
      </w:tr>
      <w:tr w:rsidR="0001645C" w:rsidRPr="006B16AB" w:rsidTr="003056EA">
        <w:trPr>
          <w:trHeight w:val="284"/>
        </w:trPr>
        <w:tc>
          <w:tcPr>
            <w:tcW w:w="1636" w:type="dxa"/>
            <w:vMerge/>
            <w:tcBorders>
              <w:top w:val="nil"/>
              <w:left w:val="single" w:sz="8" w:space="0" w:color="auto"/>
              <w:bottom w:val="single" w:sz="8" w:space="0" w:color="000000"/>
              <w:right w:val="single" w:sz="4" w:space="0" w:color="auto"/>
            </w:tcBorders>
            <w:vAlign w:val="center"/>
            <w:hideMark/>
          </w:tcPr>
          <w:p w:rsidR="0001645C" w:rsidRPr="006B16AB" w:rsidRDefault="0001645C" w:rsidP="003056EA">
            <w:pPr>
              <w:rPr>
                <w:rFonts w:ascii="Arial" w:hAnsi="Arial" w:cs="Arial"/>
                <w:sz w:val="16"/>
                <w:szCs w:val="16"/>
                <w:lang w:eastAsia="it-IT"/>
              </w:rPr>
            </w:pPr>
          </w:p>
        </w:tc>
        <w:tc>
          <w:tcPr>
            <w:tcW w:w="1002" w:type="dxa"/>
            <w:vMerge/>
            <w:tcBorders>
              <w:top w:val="single" w:sz="8" w:space="0" w:color="auto"/>
              <w:left w:val="single" w:sz="8" w:space="0" w:color="auto"/>
              <w:bottom w:val="single" w:sz="8" w:space="0" w:color="000000"/>
              <w:right w:val="single" w:sz="4" w:space="0" w:color="auto"/>
            </w:tcBorders>
            <w:vAlign w:val="center"/>
            <w:hideMark/>
          </w:tcPr>
          <w:p w:rsidR="0001645C" w:rsidRPr="006B16AB" w:rsidRDefault="0001645C" w:rsidP="003056EA">
            <w:pPr>
              <w:rPr>
                <w:rFonts w:ascii="Arial" w:hAnsi="Arial" w:cs="Arial"/>
                <w:sz w:val="16"/>
                <w:szCs w:val="16"/>
                <w:lang w:eastAsia="it-IT"/>
              </w:rPr>
            </w:pPr>
          </w:p>
        </w:tc>
        <w:tc>
          <w:tcPr>
            <w:tcW w:w="1064" w:type="dxa"/>
            <w:vMerge/>
            <w:tcBorders>
              <w:top w:val="single" w:sz="8" w:space="0" w:color="auto"/>
              <w:left w:val="single" w:sz="4" w:space="0" w:color="auto"/>
              <w:bottom w:val="single" w:sz="8" w:space="0" w:color="000000"/>
              <w:right w:val="single" w:sz="4" w:space="0" w:color="auto"/>
            </w:tcBorders>
            <w:vAlign w:val="center"/>
            <w:hideMark/>
          </w:tcPr>
          <w:p w:rsidR="0001645C" w:rsidRPr="006B16AB" w:rsidRDefault="0001645C" w:rsidP="003056EA">
            <w:pPr>
              <w:rPr>
                <w:rFonts w:ascii="Arial" w:hAnsi="Arial" w:cs="Arial"/>
                <w:sz w:val="16"/>
                <w:szCs w:val="16"/>
                <w:lang w:eastAsia="it-IT"/>
              </w:rPr>
            </w:pPr>
          </w:p>
        </w:tc>
        <w:tc>
          <w:tcPr>
            <w:tcW w:w="1373" w:type="dxa"/>
            <w:tcBorders>
              <w:top w:val="nil"/>
              <w:left w:val="nil"/>
              <w:bottom w:val="single" w:sz="8" w:space="0" w:color="auto"/>
              <w:right w:val="single" w:sz="4" w:space="0" w:color="auto"/>
            </w:tcBorders>
            <w:shd w:val="clear" w:color="000000" w:fill="CCECFF"/>
            <w:noWrap/>
            <w:vAlign w:val="bottom"/>
            <w:hideMark/>
          </w:tcPr>
          <w:p w:rsidR="0001645C" w:rsidRPr="006B16AB" w:rsidRDefault="0001645C" w:rsidP="003056EA">
            <w:pPr>
              <w:jc w:val="center"/>
              <w:rPr>
                <w:rFonts w:ascii="Arial" w:hAnsi="Arial" w:cs="Arial"/>
                <w:sz w:val="16"/>
                <w:szCs w:val="16"/>
                <w:lang w:eastAsia="it-IT"/>
              </w:rPr>
            </w:pPr>
            <w:r w:rsidRPr="006B16AB">
              <w:rPr>
                <w:rFonts w:ascii="Arial" w:hAnsi="Arial" w:cs="Arial"/>
                <w:sz w:val="16"/>
                <w:szCs w:val="16"/>
                <w:lang w:eastAsia="it-IT"/>
              </w:rPr>
              <w:t>%</w:t>
            </w:r>
          </w:p>
        </w:tc>
        <w:tc>
          <w:tcPr>
            <w:tcW w:w="1616" w:type="dxa"/>
            <w:tcBorders>
              <w:top w:val="nil"/>
              <w:left w:val="nil"/>
              <w:bottom w:val="single" w:sz="8" w:space="0" w:color="auto"/>
              <w:right w:val="single" w:sz="4" w:space="0" w:color="auto"/>
            </w:tcBorders>
            <w:shd w:val="clear" w:color="000000" w:fill="CCECFF"/>
            <w:noWrap/>
            <w:vAlign w:val="bottom"/>
            <w:hideMark/>
          </w:tcPr>
          <w:p w:rsidR="0001645C" w:rsidRPr="006B16AB" w:rsidRDefault="0001645C" w:rsidP="003056EA">
            <w:pPr>
              <w:jc w:val="center"/>
              <w:rPr>
                <w:rFonts w:ascii="Arial" w:hAnsi="Arial" w:cs="Arial"/>
                <w:color w:val="000000"/>
                <w:sz w:val="16"/>
                <w:szCs w:val="16"/>
                <w:lang w:eastAsia="it-IT"/>
              </w:rPr>
            </w:pPr>
            <w:r w:rsidRPr="006B16AB">
              <w:rPr>
                <w:rFonts w:ascii="Arial" w:hAnsi="Arial" w:cs="Arial"/>
                <w:color w:val="000000"/>
                <w:sz w:val="16"/>
                <w:szCs w:val="16"/>
                <w:lang w:eastAsia="it-IT"/>
              </w:rPr>
              <w:t>1,43%</w:t>
            </w:r>
          </w:p>
        </w:tc>
        <w:tc>
          <w:tcPr>
            <w:tcW w:w="1217" w:type="dxa"/>
            <w:tcBorders>
              <w:top w:val="nil"/>
              <w:left w:val="nil"/>
              <w:bottom w:val="single" w:sz="8" w:space="0" w:color="auto"/>
              <w:right w:val="single" w:sz="4" w:space="0" w:color="auto"/>
            </w:tcBorders>
            <w:shd w:val="clear" w:color="000000" w:fill="CCECFF"/>
            <w:noWrap/>
            <w:vAlign w:val="bottom"/>
            <w:hideMark/>
          </w:tcPr>
          <w:p w:rsidR="0001645C" w:rsidRPr="006B16AB" w:rsidRDefault="0001645C" w:rsidP="003056EA">
            <w:pPr>
              <w:jc w:val="center"/>
              <w:rPr>
                <w:rFonts w:ascii="Arial" w:hAnsi="Arial" w:cs="Arial"/>
                <w:color w:val="000000"/>
                <w:sz w:val="16"/>
                <w:szCs w:val="16"/>
                <w:lang w:eastAsia="it-IT"/>
              </w:rPr>
            </w:pPr>
            <w:r w:rsidRPr="006B16AB">
              <w:rPr>
                <w:rFonts w:ascii="Arial" w:hAnsi="Arial" w:cs="Arial"/>
                <w:color w:val="000000"/>
                <w:sz w:val="16"/>
                <w:szCs w:val="16"/>
                <w:lang w:eastAsia="it-IT"/>
              </w:rPr>
              <w:t>5,71%</w:t>
            </w:r>
          </w:p>
        </w:tc>
        <w:tc>
          <w:tcPr>
            <w:tcW w:w="1063" w:type="dxa"/>
            <w:tcBorders>
              <w:top w:val="nil"/>
              <w:left w:val="nil"/>
              <w:bottom w:val="single" w:sz="8" w:space="0" w:color="auto"/>
              <w:right w:val="single" w:sz="4" w:space="0" w:color="auto"/>
            </w:tcBorders>
            <w:shd w:val="clear" w:color="000000" w:fill="CCECFF"/>
            <w:noWrap/>
            <w:vAlign w:val="bottom"/>
            <w:hideMark/>
          </w:tcPr>
          <w:p w:rsidR="0001645C" w:rsidRPr="006B16AB" w:rsidRDefault="0001645C" w:rsidP="003056EA">
            <w:pPr>
              <w:jc w:val="center"/>
              <w:rPr>
                <w:rFonts w:ascii="Arial" w:hAnsi="Arial" w:cs="Arial"/>
                <w:color w:val="000000"/>
                <w:sz w:val="16"/>
                <w:szCs w:val="16"/>
                <w:lang w:eastAsia="it-IT"/>
              </w:rPr>
            </w:pPr>
            <w:r w:rsidRPr="006B16AB">
              <w:rPr>
                <w:rFonts w:ascii="Arial" w:hAnsi="Arial" w:cs="Arial"/>
                <w:color w:val="000000"/>
                <w:sz w:val="16"/>
                <w:szCs w:val="16"/>
                <w:lang w:eastAsia="it-IT"/>
              </w:rPr>
              <w:t>82,86%</w:t>
            </w:r>
          </w:p>
        </w:tc>
        <w:tc>
          <w:tcPr>
            <w:tcW w:w="1115" w:type="dxa"/>
            <w:tcBorders>
              <w:top w:val="nil"/>
              <w:left w:val="nil"/>
              <w:bottom w:val="single" w:sz="8" w:space="0" w:color="auto"/>
              <w:right w:val="single" w:sz="8" w:space="0" w:color="auto"/>
            </w:tcBorders>
            <w:shd w:val="clear" w:color="000000" w:fill="CCECFF"/>
            <w:noWrap/>
            <w:vAlign w:val="bottom"/>
            <w:hideMark/>
          </w:tcPr>
          <w:p w:rsidR="0001645C" w:rsidRPr="006B16AB" w:rsidRDefault="0001645C" w:rsidP="003056EA">
            <w:pPr>
              <w:jc w:val="center"/>
              <w:rPr>
                <w:rFonts w:ascii="Arial" w:hAnsi="Arial" w:cs="Arial"/>
                <w:color w:val="000000"/>
                <w:sz w:val="16"/>
                <w:szCs w:val="16"/>
                <w:lang w:eastAsia="it-IT"/>
              </w:rPr>
            </w:pPr>
            <w:r w:rsidRPr="006B16AB">
              <w:rPr>
                <w:rFonts w:ascii="Arial" w:hAnsi="Arial" w:cs="Arial"/>
                <w:color w:val="000000"/>
                <w:sz w:val="16"/>
                <w:szCs w:val="16"/>
                <w:lang w:eastAsia="it-IT"/>
              </w:rPr>
              <w:t>10,00%</w:t>
            </w:r>
          </w:p>
        </w:tc>
      </w:tr>
      <w:tr w:rsidR="0001645C" w:rsidRPr="006B16AB" w:rsidTr="003056EA">
        <w:trPr>
          <w:trHeight w:val="268"/>
        </w:trPr>
        <w:tc>
          <w:tcPr>
            <w:tcW w:w="1636" w:type="dxa"/>
            <w:vMerge/>
            <w:tcBorders>
              <w:top w:val="nil"/>
              <w:left w:val="single" w:sz="8" w:space="0" w:color="auto"/>
              <w:bottom w:val="single" w:sz="8" w:space="0" w:color="000000"/>
              <w:right w:val="single" w:sz="4" w:space="0" w:color="auto"/>
            </w:tcBorders>
            <w:vAlign w:val="center"/>
            <w:hideMark/>
          </w:tcPr>
          <w:p w:rsidR="0001645C" w:rsidRPr="006B16AB" w:rsidRDefault="0001645C" w:rsidP="003056EA">
            <w:pPr>
              <w:rPr>
                <w:rFonts w:ascii="Arial" w:hAnsi="Arial" w:cs="Arial"/>
                <w:sz w:val="16"/>
                <w:szCs w:val="16"/>
                <w:lang w:eastAsia="it-IT"/>
              </w:rPr>
            </w:pPr>
          </w:p>
        </w:tc>
        <w:tc>
          <w:tcPr>
            <w:tcW w:w="1002" w:type="dxa"/>
            <w:vMerge w:val="restart"/>
            <w:tcBorders>
              <w:top w:val="nil"/>
              <w:left w:val="single" w:sz="8" w:space="0" w:color="auto"/>
              <w:bottom w:val="single" w:sz="8" w:space="0" w:color="000000"/>
              <w:right w:val="single" w:sz="4" w:space="0" w:color="auto"/>
            </w:tcBorders>
            <w:shd w:val="clear" w:color="000000" w:fill="99CCFF"/>
            <w:noWrap/>
            <w:vAlign w:val="center"/>
            <w:hideMark/>
          </w:tcPr>
          <w:p w:rsidR="0001645C" w:rsidRPr="006B16AB" w:rsidRDefault="0001645C" w:rsidP="003056EA">
            <w:pPr>
              <w:jc w:val="center"/>
              <w:rPr>
                <w:rFonts w:ascii="Arial" w:hAnsi="Arial" w:cs="Arial"/>
                <w:sz w:val="16"/>
                <w:szCs w:val="16"/>
                <w:lang w:eastAsia="it-IT"/>
              </w:rPr>
            </w:pPr>
            <w:r w:rsidRPr="006B16AB">
              <w:rPr>
                <w:rFonts w:ascii="Arial" w:hAnsi="Arial" w:cs="Arial"/>
                <w:sz w:val="16"/>
                <w:szCs w:val="16"/>
                <w:lang w:eastAsia="it-IT"/>
              </w:rPr>
              <w:t>C</w:t>
            </w:r>
          </w:p>
        </w:tc>
        <w:tc>
          <w:tcPr>
            <w:tcW w:w="1064" w:type="dxa"/>
            <w:vMerge w:val="restart"/>
            <w:tcBorders>
              <w:top w:val="nil"/>
              <w:left w:val="single" w:sz="4" w:space="0" w:color="auto"/>
              <w:bottom w:val="single" w:sz="8" w:space="0" w:color="000000"/>
              <w:right w:val="single" w:sz="4" w:space="0" w:color="auto"/>
            </w:tcBorders>
            <w:shd w:val="clear" w:color="000000" w:fill="99CCFF"/>
            <w:noWrap/>
            <w:vAlign w:val="center"/>
            <w:hideMark/>
          </w:tcPr>
          <w:p w:rsidR="0001645C" w:rsidRPr="006B16AB" w:rsidRDefault="0001645C" w:rsidP="003056EA">
            <w:pPr>
              <w:jc w:val="center"/>
              <w:rPr>
                <w:rFonts w:ascii="Arial" w:hAnsi="Arial" w:cs="Arial"/>
                <w:sz w:val="16"/>
                <w:szCs w:val="16"/>
                <w:lang w:eastAsia="it-IT"/>
              </w:rPr>
            </w:pPr>
            <w:r w:rsidRPr="006B16AB">
              <w:rPr>
                <w:rFonts w:ascii="Arial" w:hAnsi="Arial" w:cs="Arial"/>
                <w:sz w:val="16"/>
                <w:szCs w:val="16"/>
                <w:lang w:eastAsia="it-IT"/>
              </w:rPr>
              <w:t>140</w:t>
            </w:r>
          </w:p>
        </w:tc>
        <w:tc>
          <w:tcPr>
            <w:tcW w:w="1373" w:type="dxa"/>
            <w:tcBorders>
              <w:top w:val="nil"/>
              <w:left w:val="nil"/>
              <w:bottom w:val="single" w:sz="4" w:space="0" w:color="auto"/>
              <w:right w:val="single" w:sz="4" w:space="0" w:color="auto"/>
            </w:tcBorders>
            <w:shd w:val="clear" w:color="000000" w:fill="99CCFF"/>
            <w:noWrap/>
            <w:vAlign w:val="bottom"/>
            <w:hideMark/>
          </w:tcPr>
          <w:p w:rsidR="0001645C" w:rsidRPr="006B16AB" w:rsidRDefault="0001645C" w:rsidP="003056EA">
            <w:pPr>
              <w:jc w:val="center"/>
              <w:rPr>
                <w:rFonts w:ascii="Arial" w:hAnsi="Arial" w:cs="Arial"/>
                <w:color w:val="000000"/>
                <w:sz w:val="16"/>
                <w:szCs w:val="16"/>
                <w:lang w:eastAsia="it-IT"/>
              </w:rPr>
            </w:pPr>
            <w:r w:rsidRPr="006B16AB">
              <w:rPr>
                <w:rFonts w:ascii="Arial" w:hAnsi="Arial" w:cs="Arial"/>
                <w:color w:val="000000"/>
                <w:sz w:val="16"/>
                <w:szCs w:val="16"/>
                <w:lang w:eastAsia="it-IT"/>
              </w:rPr>
              <w:t>n. dipendenti</w:t>
            </w:r>
          </w:p>
        </w:tc>
        <w:tc>
          <w:tcPr>
            <w:tcW w:w="1616" w:type="dxa"/>
            <w:tcBorders>
              <w:top w:val="nil"/>
              <w:left w:val="nil"/>
              <w:bottom w:val="single" w:sz="4" w:space="0" w:color="auto"/>
              <w:right w:val="single" w:sz="4" w:space="0" w:color="auto"/>
            </w:tcBorders>
            <w:shd w:val="clear" w:color="000000" w:fill="99CCFF"/>
            <w:noWrap/>
            <w:vAlign w:val="bottom"/>
            <w:hideMark/>
          </w:tcPr>
          <w:p w:rsidR="0001645C" w:rsidRPr="006B16AB" w:rsidRDefault="0001645C" w:rsidP="003056EA">
            <w:pPr>
              <w:jc w:val="center"/>
              <w:rPr>
                <w:rFonts w:ascii="Arial" w:hAnsi="Arial" w:cs="Arial"/>
                <w:color w:val="000000"/>
                <w:sz w:val="16"/>
                <w:szCs w:val="16"/>
                <w:lang w:eastAsia="it-IT"/>
              </w:rPr>
            </w:pPr>
            <w:r w:rsidRPr="006B16AB">
              <w:rPr>
                <w:rFonts w:ascii="Arial" w:hAnsi="Arial" w:cs="Arial"/>
                <w:color w:val="000000"/>
                <w:sz w:val="16"/>
                <w:szCs w:val="16"/>
                <w:lang w:eastAsia="it-IT"/>
              </w:rPr>
              <w:t>1</w:t>
            </w:r>
          </w:p>
        </w:tc>
        <w:tc>
          <w:tcPr>
            <w:tcW w:w="1217" w:type="dxa"/>
            <w:tcBorders>
              <w:top w:val="nil"/>
              <w:left w:val="nil"/>
              <w:bottom w:val="single" w:sz="4" w:space="0" w:color="auto"/>
              <w:right w:val="single" w:sz="4" w:space="0" w:color="auto"/>
            </w:tcBorders>
            <w:shd w:val="clear" w:color="000000" w:fill="99CCFF"/>
            <w:noWrap/>
            <w:vAlign w:val="bottom"/>
            <w:hideMark/>
          </w:tcPr>
          <w:p w:rsidR="0001645C" w:rsidRPr="006B16AB" w:rsidRDefault="0001645C" w:rsidP="003056EA">
            <w:pPr>
              <w:jc w:val="center"/>
              <w:rPr>
                <w:rFonts w:ascii="Arial" w:hAnsi="Arial" w:cs="Arial"/>
                <w:color w:val="000000"/>
                <w:sz w:val="16"/>
                <w:szCs w:val="16"/>
                <w:lang w:eastAsia="it-IT"/>
              </w:rPr>
            </w:pPr>
            <w:r w:rsidRPr="006B16AB">
              <w:rPr>
                <w:rFonts w:ascii="Arial" w:hAnsi="Arial" w:cs="Arial"/>
                <w:color w:val="000000"/>
                <w:sz w:val="16"/>
                <w:szCs w:val="16"/>
                <w:lang w:eastAsia="it-IT"/>
              </w:rPr>
              <w:t>1</w:t>
            </w:r>
          </w:p>
        </w:tc>
        <w:tc>
          <w:tcPr>
            <w:tcW w:w="1063" w:type="dxa"/>
            <w:tcBorders>
              <w:top w:val="nil"/>
              <w:left w:val="nil"/>
              <w:bottom w:val="single" w:sz="4" w:space="0" w:color="auto"/>
              <w:right w:val="single" w:sz="4" w:space="0" w:color="auto"/>
            </w:tcBorders>
            <w:shd w:val="clear" w:color="000000" w:fill="99CCFF"/>
            <w:noWrap/>
            <w:vAlign w:val="bottom"/>
            <w:hideMark/>
          </w:tcPr>
          <w:p w:rsidR="0001645C" w:rsidRPr="006B16AB" w:rsidRDefault="0001645C" w:rsidP="003056EA">
            <w:pPr>
              <w:jc w:val="center"/>
              <w:rPr>
                <w:rFonts w:ascii="Arial" w:hAnsi="Arial" w:cs="Arial"/>
                <w:color w:val="000000"/>
                <w:sz w:val="16"/>
                <w:szCs w:val="16"/>
                <w:lang w:eastAsia="it-IT"/>
              </w:rPr>
            </w:pPr>
            <w:r w:rsidRPr="006B16AB">
              <w:rPr>
                <w:rFonts w:ascii="Arial" w:hAnsi="Arial" w:cs="Arial"/>
                <w:color w:val="000000"/>
                <w:sz w:val="16"/>
                <w:szCs w:val="16"/>
                <w:lang w:eastAsia="it-IT"/>
              </w:rPr>
              <w:t>110</w:t>
            </w:r>
          </w:p>
        </w:tc>
        <w:tc>
          <w:tcPr>
            <w:tcW w:w="1115" w:type="dxa"/>
            <w:tcBorders>
              <w:top w:val="nil"/>
              <w:left w:val="nil"/>
              <w:bottom w:val="single" w:sz="4" w:space="0" w:color="auto"/>
              <w:right w:val="single" w:sz="8" w:space="0" w:color="auto"/>
            </w:tcBorders>
            <w:shd w:val="clear" w:color="000000" w:fill="99CCFF"/>
            <w:noWrap/>
            <w:vAlign w:val="bottom"/>
            <w:hideMark/>
          </w:tcPr>
          <w:p w:rsidR="0001645C" w:rsidRPr="006B16AB" w:rsidRDefault="0001645C" w:rsidP="003056EA">
            <w:pPr>
              <w:jc w:val="center"/>
              <w:rPr>
                <w:rFonts w:ascii="Arial" w:hAnsi="Arial" w:cs="Arial"/>
                <w:color w:val="000000"/>
                <w:sz w:val="16"/>
                <w:szCs w:val="16"/>
                <w:lang w:eastAsia="it-IT"/>
              </w:rPr>
            </w:pPr>
            <w:r w:rsidRPr="006B16AB">
              <w:rPr>
                <w:rFonts w:ascii="Arial" w:hAnsi="Arial" w:cs="Arial"/>
                <w:color w:val="000000"/>
                <w:sz w:val="16"/>
                <w:szCs w:val="16"/>
                <w:lang w:eastAsia="it-IT"/>
              </w:rPr>
              <w:t>28</w:t>
            </w:r>
          </w:p>
        </w:tc>
      </w:tr>
      <w:tr w:rsidR="0001645C" w:rsidRPr="006B16AB" w:rsidTr="003056EA">
        <w:trPr>
          <w:trHeight w:val="284"/>
        </w:trPr>
        <w:tc>
          <w:tcPr>
            <w:tcW w:w="1636" w:type="dxa"/>
            <w:vMerge/>
            <w:tcBorders>
              <w:top w:val="nil"/>
              <w:left w:val="single" w:sz="8" w:space="0" w:color="auto"/>
              <w:bottom w:val="single" w:sz="8" w:space="0" w:color="000000"/>
              <w:right w:val="single" w:sz="4" w:space="0" w:color="auto"/>
            </w:tcBorders>
            <w:vAlign w:val="center"/>
            <w:hideMark/>
          </w:tcPr>
          <w:p w:rsidR="0001645C" w:rsidRPr="006B16AB" w:rsidRDefault="0001645C" w:rsidP="003056EA">
            <w:pPr>
              <w:rPr>
                <w:rFonts w:ascii="Arial" w:hAnsi="Arial" w:cs="Arial"/>
                <w:sz w:val="16"/>
                <w:szCs w:val="16"/>
                <w:lang w:eastAsia="it-IT"/>
              </w:rPr>
            </w:pPr>
          </w:p>
        </w:tc>
        <w:tc>
          <w:tcPr>
            <w:tcW w:w="1002" w:type="dxa"/>
            <w:vMerge/>
            <w:tcBorders>
              <w:top w:val="nil"/>
              <w:left w:val="single" w:sz="8" w:space="0" w:color="auto"/>
              <w:bottom w:val="single" w:sz="8" w:space="0" w:color="000000"/>
              <w:right w:val="single" w:sz="4" w:space="0" w:color="auto"/>
            </w:tcBorders>
            <w:vAlign w:val="center"/>
            <w:hideMark/>
          </w:tcPr>
          <w:p w:rsidR="0001645C" w:rsidRPr="006B16AB" w:rsidRDefault="0001645C" w:rsidP="003056EA">
            <w:pPr>
              <w:rPr>
                <w:rFonts w:ascii="Arial" w:hAnsi="Arial" w:cs="Arial"/>
                <w:sz w:val="16"/>
                <w:szCs w:val="16"/>
                <w:lang w:eastAsia="it-IT"/>
              </w:rPr>
            </w:pPr>
          </w:p>
        </w:tc>
        <w:tc>
          <w:tcPr>
            <w:tcW w:w="1064" w:type="dxa"/>
            <w:vMerge/>
            <w:tcBorders>
              <w:top w:val="nil"/>
              <w:left w:val="single" w:sz="4" w:space="0" w:color="auto"/>
              <w:bottom w:val="single" w:sz="8" w:space="0" w:color="000000"/>
              <w:right w:val="single" w:sz="4" w:space="0" w:color="auto"/>
            </w:tcBorders>
            <w:vAlign w:val="center"/>
            <w:hideMark/>
          </w:tcPr>
          <w:p w:rsidR="0001645C" w:rsidRPr="006B16AB" w:rsidRDefault="0001645C" w:rsidP="003056EA">
            <w:pPr>
              <w:rPr>
                <w:rFonts w:ascii="Arial" w:hAnsi="Arial" w:cs="Arial"/>
                <w:sz w:val="16"/>
                <w:szCs w:val="16"/>
                <w:lang w:eastAsia="it-IT"/>
              </w:rPr>
            </w:pPr>
          </w:p>
        </w:tc>
        <w:tc>
          <w:tcPr>
            <w:tcW w:w="1373" w:type="dxa"/>
            <w:tcBorders>
              <w:top w:val="nil"/>
              <w:left w:val="nil"/>
              <w:bottom w:val="single" w:sz="8" w:space="0" w:color="auto"/>
              <w:right w:val="single" w:sz="4" w:space="0" w:color="auto"/>
            </w:tcBorders>
            <w:shd w:val="clear" w:color="000000" w:fill="99CCFF"/>
            <w:noWrap/>
            <w:vAlign w:val="bottom"/>
            <w:hideMark/>
          </w:tcPr>
          <w:p w:rsidR="0001645C" w:rsidRPr="006B16AB" w:rsidRDefault="0001645C" w:rsidP="003056EA">
            <w:pPr>
              <w:jc w:val="center"/>
              <w:rPr>
                <w:rFonts w:ascii="Arial" w:hAnsi="Arial" w:cs="Arial"/>
                <w:sz w:val="16"/>
                <w:szCs w:val="16"/>
                <w:lang w:eastAsia="it-IT"/>
              </w:rPr>
            </w:pPr>
            <w:r w:rsidRPr="006B16AB">
              <w:rPr>
                <w:rFonts w:ascii="Arial" w:hAnsi="Arial" w:cs="Arial"/>
                <w:sz w:val="16"/>
                <w:szCs w:val="16"/>
                <w:lang w:eastAsia="it-IT"/>
              </w:rPr>
              <w:t>%</w:t>
            </w:r>
          </w:p>
        </w:tc>
        <w:tc>
          <w:tcPr>
            <w:tcW w:w="1616" w:type="dxa"/>
            <w:tcBorders>
              <w:top w:val="nil"/>
              <w:left w:val="nil"/>
              <w:bottom w:val="single" w:sz="8" w:space="0" w:color="auto"/>
              <w:right w:val="single" w:sz="4" w:space="0" w:color="auto"/>
            </w:tcBorders>
            <w:shd w:val="clear" w:color="000000" w:fill="99CCFF"/>
            <w:noWrap/>
            <w:vAlign w:val="bottom"/>
            <w:hideMark/>
          </w:tcPr>
          <w:p w:rsidR="0001645C" w:rsidRPr="006B16AB" w:rsidRDefault="0001645C" w:rsidP="003056EA">
            <w:pPr>
              <w:jc w:val="center"/>
              <w:rPr>
                <w:rFonts w:ascii="Arial" w:hAnsi="Arial" w:cs="Arial"/>
                <w:color w:val="000000"/>
                <w:sz w:val="16"/>
                <w:szCs w:val="16"/>
                <w:lang w:eastAsia="it-IT"/>
              </w:rPr>
            </w:pPr>
            <w:r w:rsidRPr="006B16AB">
              <w:rPr>
                <w:rFonts w:ascii="Arial" w:hAnsi="Arial" w:cs="Arial"/>
                <w:color w:val="000000"/>
                <w:sz w:val="16"/>
                <w:szCs w:val="16"/>
                <w:lang w:eastAsia="it-IT"/>
              </w:rPr>
              <w:t>0,71%</w:t>
            </w:r>
          </w:p>
        </w:tc>
        <w:tc>
          <w:tcPr>
            <w:tcW w:w="1217" w:type="dxa"/>
            <w:tcBorders>
              <w:top w:val="nil"/>
              <w:left w:val="nil"/>
              <w:bottom w:val="single" w:sz="8" w:space="0" w:color="auto"/>
              <w:right w:val="single" w:sz="4" w:space="0" w:color="auto"/>
            </w:tcBorders>
            <w:shd w:val="clear" w:color="000000" w:fill="99CCFF"/>
            <w:noWrap/>
            <w:vAlign w:val="bottom"/>
            <w:hideMark/>
          </w:tcPr>
          <w:p w:rsidR="0001645C" w:rsidRPr="006B16AB" w:rsidRDefault="0001645C" w:rsidP="003056EA">
            <w:pPr>
              <w:jc w:val="center"/>
              <w:rPr>
                <w:rFonts w:ascii="Arial" w:hAnsi="Arial" w:cs="Arial"/>
                <w:color w:val="000000"/>
                <w:sz w:val="16"/>
                <w:szCs w:val="16"/>
                <w:lang w:eastAsia="it-IT"/>
              </w:rPr>
            </w:pPr>
            <w:r w:rsidRPr="006B16AB">
              <w:rPr>
                <w:rFonts w:ascii="Arial" w:hAnsi="Arial" w:cs="Arial"/>
                <w:color w:val="000000"/>
                <w:sz w:val="16"/>
                <w:szCs w:val="16"/>
                <w:lang w:eastAsia="it-IT"/>
              </w:rPr>
              <w:t>0,71%</w:t>
            </w:r>
          </w:p>
        </w:tc>
        <w:tc>
          <w:tcPr>
            <w:tcW w:w="1063" w:type="dxa"/>
            <w:tcBorders>
              <w:top w:val="nil"/>
              <w:left w:val="nil"/>
              <w:bottom w:val="single" w:sz="8" w:space="0" w:color="auto"/>
              <w:right w:val="single" w:sz="4" w:space="0" w:color="auto"/>
            </w:tcBorders>
            <w:shd w:val="clear" w:color="000000" w:fill="99CCFF"/>
            <w:noWrap/>
            <w:vAlign w:val="bottom"/>
            <w:hideMark/>
          </w:tcPr>
          <w:p w:rsidR="0001645C" w:rsidRPr="006B16AB" w:rsidRDefault="0001645C" w:rsidP="003056EA">
            <w:pPr>
              <w:jc w:val="center"/>
              <w:rPr>
                <w:rFonts w:ascii="Arial" w:hAnsi="Arial" w:cs="Arial"/>
                <w:color w:val="000000"/>
                <w:sz w:val="16"/>
                <w:szCs w:val="16"/>
                <w:lang w:eastAsia="it-IT"/>
              </w:rPr>
            </w:pPr>
            <w:r w:rsidRPr="006B16AB">
              <w:rPr>
                <w:rFonts w:ascii="Arial" w:hAnsi="Arial" w:cs="Arial"/>
                <w:color w:val="000000"/>
                <w:sz w:val="16"/>
                <w:szCs w:val="16"/>
                <w:lang w:eastAsia="it-IT"/>
              </w:rPr>
              <w:t>78,57%</w:t>
            </w:r>
          </w:p>
        </w:tc>
        <w:tc>
          <w:tcPr>
            <w:tcW w:w="1115" w:type="dxa"/>
            <w:tcBorders>
              <w:top w:val="nil"/>
              <w:left w:val="nil"/>
              <w:bottom w:val="single" w:sz="8" w:space="0" w:color="auto"/>
              <w:right w:val="single" w:sz="8" w:space="0" w:color="auto"/>
            </w:tcBorders>
            <w:shd w:val="clear" w:color="000000" w:fill="99CCFF"/>
            <w:noWrap/>
            <w:vAlign w:val="bottom"/>
            <w:hideMark/>
          </w:tcPr>
          <w:p w:rsidR="0001645C" w:rsidRPr="006B16AB" w:rsidRDefault="0001645C" w:rsidP="003056EA">
            <w:pPr>
              <w:jc w:val="center"/>
              <w:rPr>
                <w:rFonts w:ascii="Arial" w:hAnsi="Arial" w:cs="Arial"/>
                <w:color w:val="000000"/>
                <w:sz w:val="16"/>
                <w:szCs w:val="16"/>
                <w:lang w:eastAsia="it-IT"/>
              </w:rPr>
            </w:pPr>
            <w:r w:rsidRPr="006B16AB">
              <w:rPr>
                <w:rFonts w:ascii="Arial" w:hAnsi="Arial" w:cs="Arial"/>
                <w:color w:val="000000"/>
                <w:sz w:val="16"/>
                <w:szCs w:val="16"/>
                <w:lang w:eastAsia="it-IT"/>
              </w:rPr>
              <w:t>20,00%</w:t>
            </w:r>
          </w:p>
        </w:tc>
      </w:tr>
      <w:tr w:rsidR="0001645C" w:rsidRPr="006B16AB" w:rsidTr="003056EA">
        <w:trPr>
          <w:trHeight w:val="268"/>
        </w:trPr>
        <w:tc>
          <w:tcPr>
            <w:tcW w:w="1636" w:type="dxa"/>
            <w:vMerge/>
            <w:tcBorders>
              <w:top w:val="nil"/>
              <w:left w:val="single" w:sz="8" w:space="0" w:color="auto"/>
              <w:bottom w:val="single" w:sz="8" w:space="0" w:color="000000"/>
              <w:right w:val="single" w:sz="4" w:space="0" w:color="auto"/>
            </w:tcBorders>
            <w:vAlign w:val="center"/>
            <w:hideMark/>
          </w:tcPr>
          <w:p w:rsidR="0001645C" w:rsidRPr="006B16AB" w:rsidRDefault="0001645C" w:rsidP="003056EA">
            <w:pPr>
              <w:rPr>
                <w:rFonts w:ascii="Arial" w:hAnsi="Arial" w:cs="Arial"/>
                <w:sz w:val="16"/>
                <w:szCs w:val="16"/>
                <w:lang w:eastAsia="it-IT"/>
              </w:rPr>
            </w:pPr>
          </w:p>
        </w:tc>
        <w:tc>
          <w:tcPr>
            <w:tcW w:w="1002" w:type="dxa"/>
            <w:vMerge w:val="restart"/>
            <w:tcBorders>
              <w:top w:val="nil"/>
              <w:left w:val="single" w:sz="8" w:space="0" w:color="auto"/>
              <w:bottom w:val="single" w:sz="8" w:space="0" w:color="000000"/>
              <w:right w:val="single" w:sz="4" w:space="0" w:color="auto"/>
            </w:tcBorders>
            <w:shd w:val="clear" w:color="000000" w:fill="6699FF"/>
            <w:noWrap/>
            <w:vAlign w:val="center"/>
            <w:hideMark/>
          </w:tcPr>
          <w:p w:rsidR="0001645C" w:rsidRPr="006B16AB" w:rsidRDefault="0001645C" w:rsidP="003056EA">
            <w:pPr>
              <w:jc w:val="center"/>
              <w:rPr>
                <w:rFonts w:ascii="Arial" w:hAnsi="Arial" w:cs="Arial"/>
                <w:sz w:val="16"/>
                <w:szCs w:val="16"/>
                <w:lang w:eastAsia="it-IT"/>
              </w:rPr>
            </w:pPr>
            <w:r w:rsidRPr="006B16AB">
              <w:rPr>
                <w:rFonts w:ascii="Arial" w:hAnsi="Arial" w:cs="Arial"/>
                <w:sz w:val="16"/>
                <w:szCs w:val="16"/>
                <w:lang w:eastAsia="it-IT"/>
              </w:rPr>
              <w:t>D</w:t>
            </w:r>
          </w:p>
        </w:tc>
        <w:tc>
          <w:tcPr>
            <w:tcW w:w="1064" w:type="dxa"/>
            <w:vMerge w:val="restart"/>
            <w:tcBorders>
              <w:top w:val="nil"/>
              <w:left w:val="single" w:sz="4" w:space="0" w:color="auto"/>
              <w:bottom w:val="single" w:sz="8" w:space="0" w:color="000000"/>
              <w:right w:val="single" w:sz="4" w:space="0" w:color="auto"/>
            </w:tcBorders>
            <w:shd w:val="clear" w:color="000000" w:fill="6699FF"/>
            <w:noWrap/>
            <w:vAlign w:val="center"/>
            <w:hideMark/>
          </w:tcPr>
          <w:p w:rsidR="0001645C" w:rsidRPr="006B16AB" w:rsidRDefault="0001645C" w:rsidP="003056EA">
            <w:pPr>
              <w:jc w:val="center"/>
              <w:rPr>
                <w:rFonts w:ascii="Arial" w:hAnsi="Arial" w:cs="Arial"/>
                <w:sz w:val="16"/>
                <w:szCs w:val="16"/>
                <w:lang w:eastAsia="it-IT"/>
              </w:rPr>
            </w:pPr>
            <w:r w:rsidRPr="006B16AB">
              <w:rPr>
                <w:rFonts w:ascii="Arial" w:hAnsi="Arial" w:cs="Arial"/>
                <w:sz w:val="16"/>
                <w:szCs w:val="16"/>
                <w:lang w:eastAsia="it-IT"/>
              </w:rPr>
              <w:t>74</w:t>
            </w:r>
          </w:p>
        </w:tc>
        <w:tc>
          <w:tcPr>
            <w:tcW w:w="1373" w:type="dxa"/>
            <w:tcBorders>
              <w:top w:val="nil"/>
              <w:left w:val="nil"/>
              <w:bottom w:val="single" w:sz="4" w:space="0" w:color="auto"/>
              <w:right w:val="single" w:sz="4" w:space="0" w:color="auto"/>
            </w:tcBorders>
            <w:shd w:val="clear" w:color="000000" w:fill="6699FF"/>
            <w:noWrap/>
            <w:vAlign w:val="bottom"/>
            <w:hideMark/>
          </w:tcPr>
          <w:p w:rsidR="0001645C" w:rsidRPr="006B16AB" w:rsidRDefault="0001645C" w:rsidP="003056EA">
            <w:pPr>
              <w:jc w:val="center"/>
              <w:rPr>
                <w:rFonts w:ascii="Arial" w:hAnsi="Arial" w:cs="Arial"/>
                <w:color w:val="000000"/>
                <w:sz w:val="16"/>
                <w:szCs w:val="16"/>
                <w:lang w:eastAsia="it-IT"/>
              </w:rPr>
            </w:pPr>
            <w:r w:rsidRPr="006B16AB">
              <w:rPr>
                <w:rFonts w:ascii="Arial" w:hAnsi="Arial" w:cs="Arial"/>
                <w:color w:val="000000"/>
                <w:sz w:val="16"/>
                <w:szCs w:val="16"/>
                <w:lang w:eastAsia="it-IT"/>
              </w:rPr>
              <w:t>n. dipendenti</w:t>
            </w:r>
          </w:p>
        </w:tc>
        <w:tc>
          <w:tcPr>
            <w:tcW w:w="1616" w:type="dxa"/>
            <w:tcBorders>
              <w:top w:val="nil"/>
              <w:left w:val="nil"/>
              <w:bottom w:val="single" w:sz="4" w:space="0" w:color="auto"/>
              <w:right w:val="single" w:sz="4" w:space="0" w:color="auto"/>
            </w:tcBorders>
            <w:shd w:val="clear" w:color="000000" w:fill="6699FF"/>
            <w:noWrap/>
            <w:vAlign w:val="bottom"/>
            <w:hideMark/>
          </w:tcPr>
          <w:p w:rsidR="0001645C" w:rsidRPr="006B16AB" w:rsidRDefault="0001645C" w:rsidP="003056EA">
            <w:pPr>
              <w:jc w:val="center"/>
              <w:rPr>
                <w:rFonts w:ascii="Arial" w:hAnsi="Arial" w:cs="Arial"/>
                <w:color w:val="000000"/>
                <w:sz w:val="16"/>
                <w:szCs w:val="16"/>
                <w:lang w:eastAsia="it-IT"/>
              </w:rPr>
            </w:pPr>
            <w:r w:rsidRPr="006B16AB">
              <w:rPr>
                <w:rFonts w:ascii="Arial" w:hAnsi="Arial" w:cs="Arial"/>
                <w:color w:val="000000"/>
                <w:sz w:val="16"/>
                <w:szCs w:val="16"/>
                <w:lang w:eastAsia="it-IT"/>
              </w:rPr>
              <w:t>0</w:t>
            </w:r>
          </w:p>
        </w:tc>
        <w:tc>
          <w:tcPr>
            <w:tcW w:w="1217" w:type="dxa"/>
            <w:tcBorders>
              <w:top w:val="nil"/>
              <w:left w:val="nil"/>
              <w:bottom w:val="single" w:sz="4" w:space="0" w:color="auto"/>
              <w:right w:val="single" w:sz="4" w:space="0" w:color="auto"/>
            </w:tcBorders>
            <w:shd w:val="clear" w:color="000000" w:fill="6699FF"/>
            <w:noWrap/>
            <w:vAlign w:val="bottom"/>
            <w:hideMark/>
          </w:tcPr>
          <w:p w:rsidR="0001645C" w:rsidRPr="006B16AB" w:rsidRDefault="0001645C" w:rsidP="003056EA">
            <w:pPr>
              <w:jc w:val="center"/>
              <w:rPr>
                <w:rFonts w:ascii="Arial" w:hAnsi="Arial" w:cs="Arial"/>
                <w:color w:val="000000"/>
                <w:sz w:val="16"/>
                <w:szCs w:val="16"/>
                <w:lang w:eastAsia="it-IT"/>
              </w:rPr>
            </w:pPr>
            <w:r w:rsidRPr="006B16AB">
              <w:rPr>
                <w:rFonts w:ascii="Arial" w:hAnsi="Arial" w:cs="Arial"/>
                <w:color w:val="000000"/>
                <w:sz w:val="16"/>
                <w:szCs w:val="16"/>
                <w:lang w:eastAsia="it-IT"/>
              </w:rPr>
              <w:t>1</w:t>
            </w:r>
          </w:p>
        </w:tc>
        <w:tc>
          <w:tcPr>
            <w:tcW w:w="1063" w:type="dxa"/>
            <w:tcBorders>
              <w:top w:val="nil"/>
              <w:left w:val="nil"/>
              <w:bottom w:val="single" w:sz="4" w:space="0" w:color="auto"/>
              <w:right w:val="single" w:sz="4" w:space="0" w:color="auto"/>
            </w:tcBorders>
            <w:shd w:val="clear" w:color="000000" w:fill="6699FF"/>
            <w:noWrap/>
            <w:vAlign w:val="bottom"/>
            <w:hideMark/>
          </w:tcPr>
          <w:p w:rsidR="0001645C" w:rsidRPr="006B16AB" w:rsidRDefault="0001645C" w:rsidP="003056EA">
            <w:pPr>
              <w:jc w:val="center"/>
              <w:rPr>
                <w:rFonts w:ascii="Arial" w:hAnsi="Arial" w:cs="Arial"/>
                <w:color w:val="000000"/>
                <w:sz w:val="16"/>
                <w:szCs w:val="16"/>
                <w:lang w:eastAsia="it-IT"/>
              </w:rPr>
            </w:pPr>
            <w:r w:rsidRPr="006B16AB">
              <w:rPr>
                <w:rFonts w:ascii="Arial" w:hAnsi="Arial" w:cs="Arial"/>
                <w:color w:val="000000"/>
                <w:sz w:val="16"/>
                <w:szCs w:val="16"/>
                <w:lang w:eastAsia="it-IT"/>
              </w:rPr>
              <w:t>61</w:t>
            </w:r>
          </w:p>
        </w:tc>
        <w:tc>
          <w:tcPr>
            <w:tcW w:w="1115" w:type="dxa"/>
            <w:tcBorders>
              <w:top w:val="nil"/>
              <w:left w:val="nil"/>
              <w:bottom w:val="single" w:sz="4" w:space="0" w:color="auto"/>
              <w:right w:val="single" w:sz="8" w:space="0" w:color="auto"/>
            </w:tcBorders>
            <w:shd w:val="clear" w:color="000000" w:fill="6699FF"/>
            <w:noWrap/>
            <w:vAlign w:val="bottom"/>
            <w:hideMark/>
          </w:tcPr>
          <w:p w:rsidR="0001645C" w:rsidRPr="006B16AB" w:rsidRDefault="0001645C" w:rsidP="003056EA">
            <w:pPr>
              <w:jc w:val="center"/>
              <w:rPr>
                <w:rFonts w:ascii="Arial" w:hAnsi="Arial" w:cs="Arial"/>
                <w:color w:val="000000"/>
                <w:sz w:val="16"/>
                <w:szCs w:val="16"/>
                <w:lang w:eastAsia="it-IT"/>
              </w:rPr>
            </w:pPr>
            <w:r w:rsidRPr="006B16AB">
              <w:rPr>
                <w:rFonts w:ascii="Arial" w:hAnsi="Arial" w:cs="Arial"/>
                <w:color w:val="000000"/>
                <w:sz w:val="16"/>
                <w:szCs w:val="16"/>
                <w:lang w:eastAsia="it-IT"/>
              </w:rPr>
              <w:t>12</w:t>
            </w:r>
          </w:p>
        </w:tc>
      </w:tr>
      <w:tr w:rsidR="0001645C" w:rsidRPr="006B16AB" w:rsidTr="003056EA">
        <w:trPr>
          <w:trHeight w:val="284"/>
        </w:trPr>
        <w:tc>
          <w:tcPr>
            <w:tcW w:w="1636" w:type="dxa"/>
            <w:vMerge/>
            <w:tcBorders>
              <w:top w:val="nil"/>
              <w:left w:val="single" w:sz="8" w:space="0" w:color="auto"/>
              <w:bottom w:val="single" w:sz="8" w:space="0" w:color="000000"/>
              <w:right w:val="single" w:sz="4" w:space="0" w:color="auto"/>
            </w:tcBorders>
            <w:vAlign w:val="center"/>
            <w:hideMark/>
          </w:tcPr>
          <w:p w:rsidR="0001645C" w:rsidRPr="006B16AB" w:rsidRDefault="0001645C" w:rsidP="003056EA">
            <w:pPr>
              <w:rPr>
                <w:rFonts w:ascii="Arial" w:hAnsi="Arial" w:cs="Arial"/>
                <w:sz w:val="16"/>
                <w:szCs w:val="16"/>
                <w:lang w:eastAsia="it-IT"/>
              </w:rPr>
            </w:pPr>
          </w:p>
        </w:tc>
        <w:tc>
          <w:tcPr>
            <w:tcW w:w="1002" w:type="dxa"/>
            <w:vMerge/>
            <w:tcBorders>
              <w:top w:val="nil"/>
              <w:left w:val="single" w:sz="8" w:space="0" w:color="auto"/>
              <w:bottom w:val="single" w:sz="8" w:space="0" w:color="000000"/>
              <w:right w:val="single" w:sz="4" w:space="0" w:color="auto"/>
            </w:tcBorders>
            <w:vAlign w:val="center"/>
            <w:hideMark/>
          </w:tcPr>
          <w:p w:rsidR="0001645C" w:rsidRPr="006B16AB" w:rsidRDefault="0001645C" w:rsidP="003056EA">
            <w:pPr>
              <w:rPr>
                <w:rFonts w:ascii="Arial" w:hAnsi="Arial" w:cs="Arial"/>
                <w:sz w:val="16"/>
                <w:szCs w:val="16"/>
                <w:lang w:eastAsia="it-IT"/>
              </w:rPr>
            </w:pPr>
          </w:p>
        </w:tc>
        <w:tc>
          <w:tcPr>
            <w:tcW w:w="1064" w:type="dxa"/>
            <w:vMerge/>
            <w:tcBorders>
              <w:top w:val="nil"/>
              <w:left w:val="single" w:sz="4" w:space="0" w:color="auto"/>
              <w:bottom w:val="single" w:sz="8" w:space="0" w:color="000000"/>
              <w:right w:val="single" w:sz="4" w:space="0" w:color="auto"/>
            </w:tcBorders>
            <w:vAlign w:val="center"/>
            <w:hideMark/>
          </w:tcPr>
          <w:p w:rsidR="0001645C" w:rsidRPr="006B16AB" w:rsidRDefault="0001645C" w:rsidP="003056EA">
            <w:pPr>
              <w:rPr>
                <w:rFonts w:ascii="Arial" w:hAnsi="Arial" w:cs="Arial"/>
                <w:sz w:val="16"/>
                <w:szCs w:val="16"/>
                <w:lang w:eastAsia="it-IT"/>
              </w:rPr>
            </w:pPr>
          </w:p>
        </w:tc>
        <w:tc>
          <w:tcPr>
            <w:tcW w:w="1373" w:type="dxa"/>
            <w:tcBorders>
              <w:top w:val="nil"/>
              <w:left w:val="nil"/>
              <w:bottom w:val="single" w:sz="8" w:space="0" w:color="auto"/>
              <w:right w:val="single" w:sz="4" w:space="0" w:color="auto"/>
            </w:tcBorders>
            <w:shd w:val="clear" w:color="000000" w:fill="6699FF"/>
            <w:noWrap/>
            <w:vAlign w:val="bottom"/>
            <w:hideMark/>
          </w:tcPr>
          <w:p w:rsidR="0001645C" w:rsidRPr="006B16AB" w:rsidRDefault="0001645C" w:rsidP="003056EA">
            <w:pPr>
              <w:jc w:val="center"/>
              <w:rPr>
                <w:rFonts w:ascii="Arial" w:hAnsi="Arial" w:cs="Arial"/>
                <w:sz w:val="16"/>
                <w:szCs w:val="16"/>
                <w:lang w:eastAsia="it-IT"/>
              </w:rPr>
            </w:pPr>
            <w:r w:rsidRPr="006B16AB">
              <w:rPr>
                <w:rFonts w:ascii="Arial" w:hAnsi="Arial" w:cs="Arial"/>
                <w:sz w:val="16"/>
                <w:szCs w:val="16"/>
                <w:lang w:eastAsia="it-IT"/>
              </w:rPr>
              <w:t>%</w:t>
            </w:r>
          </w:p>
        </w:tc>
        <w:tc>
          <w:tcPr>
            <w:tcW w:w="1616" w:type="dxa"/>
            <w:tcBorders>
              <w:top w:val="nil"/>
              <w:left w:val="nil"/>
              <w:bottom w:val="single" w:sz="8" w:space="0" w:color="auto"/>
              <w:right w:val="single" w:sz="4" w:space="0" w:color="auto"/>
            </w:tcBorders>
            <w:shd w:val="clear" w:color="000000" w:fill="6699FF"/>
            <w:noWrap/>
            <w:vAlign w:val="bottom"/>
            <w:hideMark/>
          </w:tcPr>
          <w:p w:rsidR="0001645C" w:rsidRPr="006B16AB" w:rsidRDefault="0001645C" w:rsidP="003056EA">
            <w:pPr>
              <w:jc w:val="center"/>
              <w:rPr>
                <w:rFonts w:ascii="Arial" w:hAnsi="Arial" w:cs="Arial"/>
                <w:color w:val="000000"/>
                <w:sz w:val="16"/>
                <w:szCs w:val="16"/>
                <w:lang w:eastAsia="it-IT"/>
              </w:rPr>
            </w:pPr>
            <w:r w:rsidRPr="006B16AB">
              <w:rPr>
                <w:rFonts w:ascii="Arial" w:hAnsi="Arial" w:cs="Arial"/>
                <w:color w:val="000000"/>
                <w:sz w:val="16"/>
                <w:szCs w:val="16"/>
                <w:lang w:eastAsia="it-IT"/>
              </w:rPr>
              <w:t>0,00%</w:t>
            </w:r>
          </w:p>
        </w:tc>
        <w:tc>
          <w:tcPr>
            <w:tcW w:w="1217" w:type="dxa"/>
            <w:tcBorders>
              <w:top w:val="nil"/>
              <w:left w:val="nil"/>
              <w:bottom w:val="single" w:sz="8" w:space="0" w:color="auto"/>
              <w:right w:val="single" w:sz="4" w:space="0" w:color="auto"/>
            </w:tcBorders>
            <w:shd w:val="clear" w:color="000000" w:fill="6699FF"/>
            <w:noWrap/>
            <w:vAlign w:val="bottom"/>
            <w:hideMark/>
          </w:tcPr>
          <w:p w:rsidR="0001645C" w:rsidRPr="006B16AB" w:rsidRDefault="0001645C" w:rsidP="003056EA">
            <w:pPr>
              <w:jc w:val="center"/>
              <w:rPr>
                <w:rFonts w:ascii="Arial" w:hAnsi="Arial" w:cs="Arial"/>
                <w:color w:val="000000"/>
                <w:sz w:val="16"/>
                <w:szCs w:val="16"/>
                <w:lang w:eastAsia="it-IT"/>
              </w:rPr>
            </w:pPr>
            <w:r w:rsidRPr="006B16AB">
              <w:rPr>
                <w:rFonts w:ascii="Arial" w:hAnsi="Arial" w:cs="Arial"/>
                <w:color w:val="000000"/>
                <w:sz w:val="16"/>
                <w:szCs w:val="16"/>
                <w:lang w:eastAsia="it-IT"/>
              </w:rPr>
              <w:t>1,35%</w:t>
            </w:r>
          </w:p>
        </w:tc>
        <w:tc>
          <w:tcPr>
            <w:tcW w:w="1063" w:type="dxa"/>
            <w:tcBorders>
              <w:top w:val="nil"/>
              <w:left w:val="nil"/>
              <w:bottom w:val="single" w:sz="8" w:space="0" w:color="auto"/>
              <w:right w:val="single" w:sz="4" w:space="0" w:color="auto"/>
            </w:tcBorders>
            <w:shd w:val="clear" w:color="000000" w:fill="6699FF"/>
            <w:noWrap/>
            <w:vAlign w:val="bottom"/>
            <w:hideMark/>
          </w:tcPr>
          <w:p w:rsidR="0001645C" w:rsidRPr="006B16AB" w:rsidRDefault="0001645C" w:rsidP="003056EA">
            <w:pPr>
              <w:jc w:val="center"/>
              <w:rPr>
                <w:rFonts w:ascii="Arial" w:hAnsi="Arial" w:cs="Arial"/>
                <w:color w:val="000000"/>
                <w:sz w:val="16"/>
                <w:szCs w:val="16"/>
                <w:lang w:eastAsia="it-IT"/>
              </w:rPr>
            </w:pPr>
            <w:r w:rsidRPr="006B16AB">
              <w:rPr>
                <w:rFonts w:ascii="Arial" w:hAnsi="Arial" w:cs="Arial"/>
                <w:color w:val="000000"/>
                <w:sz w:val="16"/>
                <w:szCs w:val="16"/>
                <w:lang w:eastAsia="it-IT"/>
              </w:rPr>
              <w:t>82,43%</w:t>
            </w:r>
          </w:p>
        </w:tc>
        <w:tc>
          <w:tcPr>
            <w:tcW w:w="1115" w:type="dxa"/>
            <w:tcBorders>
              <w:top w:val="nil"/>
              <w:left w:val="nil"/>
              <w:bottom w:val="single" w:sz="8" w:space="0" w:color="auto"/>
              <w:right w:val="single" w:sz="8" w:space="0" w:color="auto"/>
            </w:tcBorders>
            <w:shd w:val="clear" w:color="000000" w:fill="6699FF"/>
            <w:noWrap/>
            <w:vAlign w:val="bottom"/>
            <w:hideMark/>
          </w:tcPr>
          <w:p w:rsidR="0001645C" w:rsidRPr="006B16AB" w:rsidRDefault="0001645C" w:rsidP="003056EA">
            <w:pPr>
              <w:jc w:val="center"/>
              <w:rPr>
                <w:rFonts w:ascii="Arial" w:hAnsi="Arial" w:cs="Arial"/>
                <w:color w:val="000000"/>
                <w:sz w:val="16"/>
                <w:szCs w:val="16"/>
                <w:lang w:eastAsia="it-IT"/>
              </w:rPr>
            </w:pPr>
            <w:r w:rsidRPr="006B16AB">
              <w:rPr>
                <w:rFonts w:ascii="Arial" w:hAnsi="Arial" w:cs="Arial"/>
                <w:color w:val="000000"/>
                <w:sz w:val="16"/>
                <w:szCs w:val="16"/>
                <w:lang w:eastAsia="it-IT"/>
              </w:rPr>
              <w:t>16,22%</w:t>
            </w:r>
          </w:p>
        </w:tc>
      </w:tr>
      <w:tr w:rsidR="0001645C" w:rsidRPr="006B16AB" w:rsidTr="003056EA">
        <w:trPr>
          <w:trHeight w:val="268"/>
        </w:trPr>
        <w:tc>
          <w:tcPr>
            <w:tcW w:w="1636" w:type="dxa"/>
            <w:vMerge/>
            <w:tcBorders>
              <w:top w:val="nil"/>
              <w:left w:val="single" w:sz="8" w:space="0" w:color="auto"/>
              <w:bottom w:val="single" w:sz="8" w:space="0" w:color="000000"/>
              <w:right w:val="single" w:sz="4" w:space="0" w:color="auto"/>
            </w:tcBorders>
            <w:vAlign w:val="center"/>
            <w:hideMark/>
          </w:tcPr>
          <w:p w:rsidR="0001645C" w:rsidRPr="006B16AB" w:rsidRDefault="0001645C" w:rsidP="003056EA">
            <w:pPr>
              <w:rPr>
                <w:rFonts w:ascii="Arial" w:hAnsi="Arial" w:cs="Arial"/>
                <w:sz w:val="16"/>
                <w:szCs w:val="16"/>
                <w:lang w:eastAsia="it-IT"/>
              </w:rPr>
            </w:pPr>
          </w:p>
        </w:tc>
        <w:tc>
          <w:tcPr>
            <w:tcW w:w="2066" w:type="dxa"/>
            <w:gridSpan w:val="2"/>
            <w:tcBorders>
              <w:top w:val="single" w:sz="8" w:space="0" w:color="auto"/>
              <w:left w:val="single" w:sz="8" w:space="0" w:color="auto"/>
              <w:bottom w:val="single" w:sz="8" w:space="0" w:color="000000"/>
              <w:right w:val="single" w:sz="4" w:space="0" w:color="000000"/>
            </w:tcBorders>
            <w:shd w:val="clear" w:color="000000" w:fill="3366FF"/>
            <w:noWrap/>
            <w:vAlign w:val="center"/>
            <w:hideMark/>
          </w:tcPr>
          <w:p w:rsidR="0001645C" w:rsidRPr="006B16AB" w:rsidRDefault="0001645C" w:rsidP="003056EA">
            <w:pPr>
              <w:jc w:val="center"/>
              <w:rPr>
                <w:rFonts w:ascii="Arial" w:hAnsi="Arial" w:cs="Arial"/>
                <w:b/>
                <w:bCs/>
                <w:sz w:val="16"/>
                <w:szCs w:val="16"/>
                <w:lang w:eastAsia="it-IT"/>
              </w:rPr>
            </w:pPr>
            <w:r w:rsidRPr="006B16AB">
              <w:rPr>
                <w:rFonts w:ascii="Arial" w:hAnsi="Arial" w:cs="Arial"/>
                <w:b/>
                <w:bCs/>
                <w:sz w:val="16"/>
                <w:szCs w:val="16"/>
                <w:lang w:eastAsia="it-IT"/>
              </w:rPr>
              <w:t>TOTALE</w:t>
            </w:r>
          </w:p>
        </w:tc>
        <w:tc>
          <w:tcPr>
            <w:tcW w:w="1373" w:type="dxa"/>
            <w:tcBorders>
              <w:top w:val="nil"/>
              <w:left w:val="nil"/>
              <w:bottom w:val="single" w:sz="4" w:space="0" w:color="auto"/>
              <w:right w:val="single" w:sz="4" w:space="0" w:color="auto"/>
            </w:tcBorders>
            <w:shd w:val="clear" w:color="000000" w:fill="3366FF"/>
            <w:noWrap/>
            <w:vAlign w:val="bottom"/>
            <w:hideMark/>
          </w:tcPr>
          <w:p w:rsidR="0001645C" w:rsidRPr="006B16AB" w:rsidRDefault="0001645C" w:rsidP="003056EA">
            <w:pPr>
              <w:jc w:val="center"/>
              <w:rPr>
                <w:rFonts w:ascii="Arial" w:hAnsi="Arial" w:cs="Arial"/>
                <w:color w:val="000000"/>
                <w:sz w:val="16"/>
                <w:szCs w:val="16"/>
                <w:lang w:eastAsia="it-IT"/>
              </w:rPr>
            </w:pPr>
            <w:r w:rsidRPr="006B16AB">
              <w:rPr>
                <w:rFonts w:ascii="Arial" w:hAnsi="Arial" w:cs="Arial"/>
                <w:color w:val="000000"/>
                <w:sz w:val="16"/>
                <w:szCs w:val="16"/>
                <w:lang w:eastAsia="it-IT"/>
              </w:rPr>
              <w:t>n. dipendenti</w:t>
            </w:r>
          </w:p>
        </w:tc>
        <w:tc>
          <w:tcPr>
            <w:tcW w:w="1616" w:type="dxa"/>
            <w:tcBorders>
              <w:top w:val="nil"/>
              <w:left w:val="nil"/>
              <w:bottom w:val="single" w:sz="4" w:space="0" w:color="auto"/>
              <w:right w:val="single" w:sz="4" w:space="0" w:color="auto"/>
            </w:tcBorders>
            <w:shd w:val="clear" w:color="000000" w:fill="3366FF"/>
            <w:noWrap/>
            <w:vAlign w:val="bottom"/>
            <w:hideMark/>
          </w:tcPr>
          <w:p w:rsidR="0001645C" w:rsidRPr="006B16AB" w:rsidRDefault="0001645C" w:rsidP="003056EA">
            <w:pPr>
              <w:jc w:val="center"/>
              <w:rPr>
                <w:rFonts w:ascii="Arial" w:hAnsi="Arial" w:cs="Arial"/>
                <w:color w:val="000000"/>
                <w:sz w:val="16"/>
                <w:szCs w:val="16"/>
                <w:lang w:eastAsia="it-IT"/>
              </w:rPr>
            </w:pPr>
            <w:r w:rsidRPr="006B16AB">
              <w:rPr>
                <w:rFonts w:ascii="Arial" w:hAnsi="Arial" w:cs="Arial"/>
                <w:color w:val="000000"/>
                <w:sz w:val="16"/>
                <w:szCs w:val="16"/>
                <w:lang w:eastAsia="it-IT"/>
              </w:rPr>
              <w:t>2</w:t>
            </w:r>
          </w:p>
        </w:tc>
        <w:tc>
          <w:tcPr>
            <w:tcW w:w="1217" w:type="dxa"/>
            <w:tcBorders>
              <w:top w:val="nil"/>
              <w:left w:val="nil"/>
              <w:bottom w:val="single" w:sz="4" w:space="0" w:color="auto"/>
              <w:right w:val="single" w:sz="4" w:space="0" w:color="auto"/>
            </w:tcBorders>
            <w:shd w:val="clear" w:color="000000" w:fill="3366FF"/>
            <w:noWrap/>
            <w:vAlign w:val="bottom"/>
            <w:hideMark/>
          </w:tcPr>
          <w:p w:rsidR="0001645C" w:rsidRPr="006B16AB" w:rsidRDefault="0001645C" w:rsidP="003056EA">
            <w:pPr>
              <w:jc w:val="center"/>
              <w:rPr>
                <w:rFonts w:ascii="Arial" w:hAnsi="Arial" w:cs="Arial"/>
                <w:color w:val="000000"/>
                <w:sz w:val="16"/>
                <w:szCs w:val="16"/>
                <w:lang w:eastAsia="it-IT"/>
              </w:rPr>
            </w:pPr>
            <w:r w:rsidRPr="006B16AB">
              <w:rPr>
                <w:rFonts w:ascii="Arial" w:hAnsi="Arial" w:cs="Arial"/>
                <w:color w:val="000000"/>
                <w:sz w:val="16"/>
                <w:szCs w:val="16"/>
                <w:lang w:eastAsia="it-IT"/>
              </w:rPr>
              <w:t>6</w:t>
            </w:r>
          </w:p>
        </w:tc>
        <w:tc>
          <w:tcPr>
            <w:tcW w:w="1063" w:type="dxa"/>
            <w:tcBorders>
              <w:top w:val="nil"/>
              <w:left w:val="nil"/>
              <w:bottom w:val="single" w:sz="4" w:space="0" w:color="auto"/>
              <w:right w:val="single" w:sz="4" w:space="0" w:color="auto"/>
            </w:tcBorders>
            <w:shd w:val="clear" w:color="000000" w:fill="3366FF"/>
            <w:noWrap/>
            <w:vAlign w:val="bottom"/>
            <w:hideMark/>
          </w:tcPr>
          <w:p w:rsidR="0001645C" w:rsidRPr="006B16AB" w:rsidRDefault="0001645C" w:rsidP="003056EA">
            <w:pPr>
              <w:jc w:val="center"/>
              <w:rPr>
                <w:rFonts w:ascii="Arial" w:hAnsi="Arial" w:cs="Arial"/>
                <w:color w:val="000000"/>
                <w:sz w:val="16"/>
                <w:szCs w:val="16"/>
                <w:lang w:eastAsia="it-IT"/>
              </w:rPr>
            </w:pPr>
            <w:r w:rsidRPr="006B16AB">
              <w:rPr>
                <w:rFonts w:ascii="Arial" w:hAnsi="Arial" w:cs="Arial"/>
                <w:color w:val="000000"/>
                <w:sz w:val="16"/>
                <w:szCs w:val="16"/>
                <w:lang w:eastAsia="it-IT"/>
              </w:rPr>
              <w:t>241</w:t>
            </w:r>
          </w:p>
        </w:tc>
        <w:tc>
          <w:tcPr>
            <w:tcW w:w="1115" w:type="dxa"/>
            <w:tcBorders>
              <w:top w:val="nil"/>
              <w:left w:val="nil"/>
              <w:bottom w:val="single" w:sz="4" w:space="0" w:color="auto"/>
              <w:right w:val="single" w:sz="8" w:space="0" w:color="auto"/>
            </w:tcBorders>
            <w:shd w:val="clear" w:color="000000" w:fill="3366FF"/>
            <w:noWrap/>
            <w:vAlign w:val="bottom"/>
            <w:hideMark/>
          </w:tcPr>
          <w:p w:rsidR="0001645C" w:rsidRPr="006B16AB" w:rsidRDefault="0001645C" w:rsidP="003056EA">
            <w:pPr>
              <w:jc w:val="center"/>
              <w:rPr>
                <w:rFonts w:ascii="Arial" w:hAnsi="Arial" w:cs="Arial"/>
                <w:color w:val="000000"/>
                <w:sz w:val="16"/>
                <w:szCs w:val="16"/>
                <w:lang w:eastAsia="it-IT"/>
              </w:rPr>
            </w:pPr>
            <w:r w:rsidRPr="006B16AB">
              <w:rPr>
                <w:rFonts w:ascii="Arial" w:hAnsi="Arial" w:cs="Arial"/>
                <w:color w:val="000000"/>
                <w:sz w:val="16"/>
                <w:szCs w:val="16"/>
                <w:lang w:eastAsia="it-IT"/>
              </w:rPr>
              <w:t>47</w:t>
            </w:r>
          </w:p>
        </w:tc>
      </w:tr>
    </w:tbl>
    <w:p w:rsidR="00E6628E" w:rsidRDefault="00E6628E" w:rsidP="00CC6248">
      <w:pPr>
        <w:spacing w:line="240" w:lineRule="auto"/>
        <w:jc w:val="both"/>
      </w:pPr>
    </w:p>
    <w:p w:rsidR="00E6628E" w:rsidRPr="001E4774" w:rsidRDefault="00E6628E" w:rsidP="00E6628E">
      <w:pPr>
        <w:spacing w:line="360" w:lineRule="auto"/>
        <w:ind w:right="141"/>
        <w:jc w:val="both"/>
        <w:rPr>
          <w:b/>
          <w:i/>
        </w:rPr>
      </w:pPr>
      <w:proofErr w:type="spellStart"/>
      <w:r>
        <w:rPr>
          <w:b/>
          <w:i/>
        </w:rPr>
        <w:t>Tab</w:t>
      </w:r>
      <w:proofErr w:type="spellEnd"/>
      <w:r>
        <w:rPr>
          <w:b/>
          <w:i/>
        </w:rPr>
        <w:t xml:space="preserve"> </w:t>
      </w:r>
      <w:r w:rsidR="002C5959">
        <w:rPr>
          <w:b/>
          <w:i/>
        </w:rPr>
        <w:t>6</w:t>
      </w:r>
      <w:r>
        <w:rPr>
          <w:b/>
          <w:i/>
        </w:rPr>
        <w:t>)</w:t>
      </w:r>
    </w:p>
    <w:tbl>
      <w:tblPr>
        <w:tblW w:w="5680" w:type="dxa"/>
        <w:tblInd w:w="60" w:type="dxa"/>
        <w:tblCellMar>
          <w:left w:w="70" w:type="dxa"/>
          <w:right w:w="70" w:type="dxa"/>
        </w:tblCellMar>
        <w:tblLook w:val="04A0"/>
      </w:tblPr>
      <w:tblGrid>
        <w:gridCol w:w="2200"/>
        <w:gridCol w:w="1160"/>
        <w:gridCol w:w="1160"/>
        <w:gridCol w:w="1160"/>
      </w:tblGrid>
      <w:tr w:rsidR="00E6628E" w:rsidRPr="000C2AB1" w:rsidTr="00563141">
        <w:trPr>
          <w:trHeight w:val="300"/>
        </w:trPr>
        <w:tc>
          <w:tcPr>
            <w:tcW w:w="220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E6628E" w:rsidRPr="000C2AB1" w:rsidRDefault="00E6628E" w:rsidP="00563141">
            <w:pPr>
              <w:rPr>
                <w:rFonts w:cs="Calibri"/>
                <w:color w:val="000000"/>
                <w:lang w:eastAsia="it-IT"/>
              </w:rPr>
            </w:pPr>
            <w:r w:rsidRPr="000C2AB1">
              <w:rPr>
                <w:rFonts w:cs="Calibri"/>
                <w:color w:val="000000"/>
                <w:lang w:eastAsia="it-IT"/>
              </w:rPr>
              <w:t> </w:t>
            </w:r>
          </w:p>
        </w:tc>
        <w:tc>
          <w:tcPr>
            <w:tcW w:w="1160" w:type="dxa"/>
            <w:tcBorders>
              <w:top w:val="single" w:sz="8" w:space="0" w:color="auto"/>
              <w:left w:val="nil"/>
              <w:bottom w:val="single" w:sz="4" w:space="0" w:color="auto"/>
              <w:right w:val="single" w:sz="4" w:space="0" w:color="auto"/>
            </w:tcBorders>
            <w:shd w:val="clear" w:color="auto" w:fill="auto"/>
            <w:noWrap/>
            <w:vAlign w:val="bottom"/>
            <w:hideMark/>
          </w:tcPr>
          <w:p w:rsidR="00E6628E" w:rsidRPr="000C2AB1" w:rsidRDefault="00E6628E" w:rsidP="00563141">
            <w:pPr>
              <w:jc w:val="center"/>
              <w:rPr>
                <w:rFonts w:cs="Calibri"/>
                <w:color w:val="000000"/>
                <w:lang w:eastAsia="it-IT"/>
              </w:rPr>
            </w:pPr>
            <w:r w:rsidRPr="000C2AB1">
              <w:rPr>
                <w:rFonts w:cs="Calibri"/>
                <w:color w:val="000000"/>
                <w:lang w:eastAsia="it-IT"/>
              </w:rPr>
              <w:t>ANNO 2020</w:t>
            </w:r>
          </w:p>
        </w:tc>
        <w:tc>
          <w:tcPr>
            <w:tcW w:w="1160" w:type="dxa"/>
            <w:tcBorders>
              <w:top w:val="single" w:sz="8" w:space="0" w:color="auto"/>
              <w:left w:val="nil"/>
              <w:bottom w:val="single" w:sz="4" w:space="0" w:color="auto"/>
              <w:right w:val="single" w:sz="4" w:space="0" w:color="auto"/>
            </w:tcBorders>
            <w:shd w:val="clear" w:color="auto" w:fill="auto"/>
            <w:noWrap/>
            <w:vAlign w:val="bottom"/>
            <w:hideMark/>
          </w:tcPr>
          <w:p w:rsidR="00E6628E" w:rsidRPr="000C2AB1" w:rsidRDefault="00E6628E" w:rsidP="00563141">
            <w:pPr>
              <w:jc w:val="center"/>
              <w:rPr>
                <w:rFonts w:cs="Calibri"/>
                <w:color w:val="000000"/>
                <w:lang w:eastAsia="it-IT"/>
              </w:rPr>
            </w:pPr>
            <w:r w:rsidRPr="000C2AB1">
              <w:rPr>
                <w:rFonts w:cs="Calibri"/>
                <w:color w:val="000000"/>
                <w:lang w:eastAsia="it-IT"/>
              </w:rPr>
              <w:t>ANNO 2021</w:t>
            </w:r>
          </w:p>
        </w:tc>
        <w:tc>
          <w:tcPr>
            <w:tcW w:w="1160" w:type="dxa"/>
            <w:tcBorders>
              <w:top w:val="single" w:sz="8" w:space="0" w:color="auto"/>
              <w:left w:val="nil"/>
              <w:bottom w:val="single" w:sz="4" w:space="0" w:color="auto"/>
              <w:right w:val="single" w:sz="8" w:space="0" w:color="auto"/>
            </w:tcBorders>
            <w:shd w:val="clear" w:color="auto" w:fill="auto"/>
            <w:noWrap/>
            <w:vAlign w:val="bottom"/>
            <w:hideMark/>
          </w:tcPr>
          <w:p w:rsidR="00E6628E" w:rsidRPr="000C2AB1" w:rsidRDefault="00E6628E" w:rsidP="00563141">
            <w:pPr>
              <w:jc w:val="center"/>
              <w:rPr>
                <w:rFonts w:cs="Calibri"/>
                <w:color w:val="000000"/>
                <w:lang w:eastAsia="it-IT"/>
              </w:rPr>
            </w:pPr>
            <w:r w:rsidRPr="000C2AB1">
              <w:rPr>
                <w:rFonts w:cs="Calibri"/>
                <w:color w:val="000000"/>
                <w:lang w:eastAsia="it-IT"/>
              </w:rPr>
              <w:t>ANNO 2022</w:t>
            </w:r>
          </w:p>
        </w:tc>
      </w:tr>
      <w:tr w:rsidR="00E6628E" w:rsidRPr="000C2AB1" w:rsidTr="00563141">
        <w:trPr>
          <w:trHeight w:val="645"/>
        </w:trPr>
        <w:tc>
          <w:tcPr>
            <w:tcW w:w="2200" w:type="dxa"/>
            <w:tcBorders>
              <w:top w:val="nil"/>
              <w:left w:val="single" w:sz="8" w:space="0" w:color="auto"/>
              <w:bottom w:val="single" w:sz="4" w:space="0" w:color="auto"/>
              <w:right w:val="single" w:sz="4" w:space="0" w:color="auto"/>
            </w:tcBorders>
            <w:shd w:val="clear" w:color="auto" w:fill="auto"/>
            <w:noWrap/>
            <w:vAlign w:val="center"/>
            <w:hideMark/>
          </w:tcPr>
          <w:p w:rsidR="00E6628E" w:rsidRPr="000C2AB1" w:rsidRDefault="00E6628E" w:rsidP="00563141">
            <w:pPr>
              <w:jc w:val="center"/>
              <w:rPr>
                <w:rFonts w:cs="Calibri"/>
                <w:i/>
                <w:iCs/>
                <w:color w:val="000000"/>
                <w:lang w:eastAsia="it-IT"/>
              </w:rPr>
            </w:pPr>
            <w:r w:rsidRPr="000C2AB1">
              <w:rPr>
                <w:rFonts w:cs="Calibri"/>
                <w:i/>
                <w:iCs/>
                <w:color w:val="000000"/>
                <w:lang w:eastAsia="it-IT"/>
              </w:rPr>
              <w:lastRenderedPageBreak/>
              <w:t>MEDIA</w:t>
            </w:r>
          </w:p>
        </w:tc>
        <w:tc>
          <w:tcPr>
            <w:tcW w:w="1160" w:type="dxa"/>
            <w:tcBorders>
              <w:top w:val="nil"/>
              <w:left w:val="nil"/>
              <w:bottom w:val="single" w:sz="4" w:space="0" w:color="auto"/>
              <w:right w:val="single" w:sz="4" w:space="0" w:color="auto"/>
            </w:tcBorders>
            <w:shd w:val="clear" w:color="auto" w:fill="auto"/>
            <w:noWrap/>
            <w:vAlign w:val="center"/>
            <w:hideMark/>
          </w:tcPr>
          <w:p w:rsidR="00E6628E" w:rsidRPr="000C2AB1" w:rsidRDefault="00E6628E" w:rsidP="00563141">
            <w:pPr>
              <w:jc w:val="center"/>
              <w:rPr>
                <w:rFonts w:cs="Calibri"/>
                <w:i/>
                <w:iCs/>
                <w:color w:val="000000"/>
                <w:lang w:eastAsia="it-IT"/>
              </w:rPr>
            </w:pPr>
            <w:r w:rsidRPr="000C2AB1">
              <w:rPr>
                <w:rFonts w:cs="Calibri"/>
                <w:i/>
                <w:iCs/>
                <w:color w:val="000000"/>
                <w:lang w:eastAsia="it-IT"/>
              </w:rPr>
              <w:t>102,70</w:t>
            </w:r>
          </w:p>
        </w:tc>
        <w:tc>
          <w:tcPr>
            <w:tcW w:w="1160" w:type="dxa"/>
            <w:tcBorders>
              <w:top w:val="nil"/>
              <w:left w:val="nil"/>
              <w:bottom w:val="single" w:sz="4" w:space="0" w:color="auto"/>
              <w:right w:val="single" w:sz="4" w:space="0" w:color="auto"/>
            </w:tcBorders>
            <w:shd w:val="clear" w:color="auto" w:fill="auto"/>
            <w:noWrap/>
            <w:vAlign w:val="center"/>
            <w:hideMark/>
          </w:tcPr>
          <w:p w:rsidR="00E6628E" w:rsidRPr="000C2AB1" w:rsidRDefault="00E6628E" w:rsidP="00563141">
            <w:pPr>
              <w:jc w:val="center"/>
              <w:rPr>
                <w:rFonts w:cs="Calibri"/>
                <w:i/>
                <w:iCs/>
                <w:color w:val="000000"/>
                <w:lang w:eastAsia="it-IT"/>
              </w:rPr>
            </w:pPr>
            <w:r w:rsidRPr="000C2AB1">
              <w:rPr>
                <w:rFonts w:cs="Calibri"/>
                <w:i/>
                <w:iCs/>
                <w:color w:val="000000"/>
                <w:lang w:eastAsia="it-IT"/>
              </w:rPr>
              <w:t>103,97</w:t>
            </w:r>
          </w:p>
        </w:tc>
        <w:tc>
          <w:tcPr>
            <w:tcW w:w="1160" w:type="dxa"/>
            <w:tcBorders>
              <w:top w:val="nil"/>
              <w:left w:val="nil"/>
              <w:bottom w:val="single" w:sz="4" w:space="0" w:color="auto"/>
              <w:right w:val="single" w:sz="8" w:space="0" w:color="auto"/>
            </w:tcBorders>
            <w:shd w:val="clear" w:color="auto" w:fill="auto"/>
            <w:noWrap/>
            <w:vAlign w:val="center"/>
            <w:hideMark/>
          </w:tcPr>
          <w:p w:rsidR="00E6628E" w:rsidRPr="000C2AB1" w:rsidRDefault="00E6628E" w:rsidP="00563141">
            <w:pPr>
              <w:jc w:val="center"/>
              <w:rPr>
                <w:rFonts w:cs="Calibri"/>
                <w:i/>
                <w:iCs/>
                <w:color w:val="000000"/>
                <w:lang w:eastAsia="it-IT"/>
              </w:rPr>
            </w:pPr>
            <w:r w:rsidRPr="000C2AB1">
              <w:rPr>
                <w:rFonts w:cs="Calibri"/>
                <w:i/>
                <w:iCs/>
                <w:color w:val="000000"/>
                <w:lang w:eastAsia="it-IT"/>
              </w:rPr>
              <w:t>104,36</w:t>
            </w:r>
          </w:p>
        </w:tc>
      </w:tr>
      <w:tr w:rsidR="00E6628E" w:rsidRPr="000C2AB1" w:rsidTr="00563141">
        <w:trPr>
          <w:trHeight w:val="645"/>
        </w:trPr>
        <w:tc>
          <w:tcPr>
            <w:tcW w:w="2200" w:type="dxa"/>
            <w:tcBorders>
              <w:top w:val="nil"/>
              <w:left w:val="single" w:sz="8" w:space="0" w:color="auto"/>
              <w:bottom w:val="single" w:sz="8" w:space="0" w:color="auto"/>
              <w:right w:val="single" w:sz="4" w:space="0" w:color="auto"/>
            </w:tcBorders>
            <w:shd w:val="clear" w:color="auto" w:fill="auto"/>
            <w:vAlign w:val="center"/>
            <w:hideMark/>
          </w:tcPr>
          <w:p w:rsidR="00E6628E" w:rsidRPr="000C2AB1" w:rsidRDefault="00E6628E" w:rsidP="00563141">
            <w:pPr>
              <w:jc w:val="center"/>
              <w:rPr>
                <w:rFonts w:cs="Calibri"/>
                <w:i/>
                <w:iCs/>
                <w:color w:val="000000"/>
                <w:lang w:eastAsia="it-IT"/>
              </w:rPr>
            </w:pPr>
            <w:r w:rsidRPr="000C2AB1">
              <w:rPr>
                <w:rFonts w:cs="Calibri"/>
                <w:i/>
                <w:iCs/>
                <w:color w:val="000000"/>
                <w:lang w:eastAsia="it-IT"/>
              </w:rPr>
              <w:t>SCARTO QUADRATICO MEDIO</w:t>
            </w:r>
          </w:p>
        </w:tc>
        <w:tc>
          <w:tcPr>
            <w:tcW w:w="1160" w:type="dxa"/>
            <w:tcBorders>
              <w:top w:val="nil"/>
              <w:left w:val="nil"/>
              <w:bottom w:val="single" w:sz="8" w:space="0" w:color="auto"/>
              <w:right w:val="single" w:sz="4" w:space="0" w:color="auto"/>
            </w:tcBorders>
            <w:shd w:val="clear" w:color="auto" w:fill="auto"/>
            <w:noWrap/>
            <w:vAlign w:val="center"/>
            <w:hideMark/>
          </w:tcPr>
          <w:p w:rsidR="00E6628E" w:rsidRPr="000C2AB1" w:rsidRDefault="00E6628E" w:rsidP="00563141">
            <w:pPr>
              <w:jc w:val="center"/>
              <w:rPr>
                <w:rFonts w:cs="Calibri"/>
                <w:i/>
                <w:iCs/>
                <w:color w:val="000000"/>
                <w:lang w:eastAsia="it-IT"/>
              </w:rPr>
            </w:pPr>
            <w:r w:rsidRPr="000C2AB1">
              <w:rPr>
                <w:rFonts w:cs="Calibri"/>
                <w:i/>
                <w:iCs/>
                <w:color w:val="000000"/>
                <w:lang w:eastAsia="it-IT"/>
              </w:rPr>
              <w:t>9,59</w:t>
            </w:r>
          </w:p>
        </w:tc>
        <w:tc>
          <w:tcPr>
            <w:tcW w:w="1160" w:type="dxa"/>
            <w:tcBorders>
              <w:top w:val="nil"/>
              <w:left w:val="nil"/>
              <w:bottom w:val="single" w:sz="8" w:space="0" w:color="auto"/>
              <w:right w:val="single" w:sz="4" w:space="0" w:color="auto"/>
            </w:tcBorders>
            <w:shd w:val="clear" w:color="auto" w:fill="auto"/>
            <w:noWrap/>
            <w:vAlign w:val="center"/>
            <w:hideMark/>
          </w:tcPr>
          <w:p w:rsidR="00E6628E" w:rsidRPr="000C2AB1" w:rsidRDefault="00E6628E" w:rsidP="00563141">
            <w:pPr>
              <w:jc w:val="center"/>
              <w:rPr>
                <w:rFonts w:cs="Calibri"/>
                <w:i/>
                <w:iCs/>
                <w:color w:val="000000"/>
                <w:lang w:eastAsia="it-IT"/>
              </w:rPr>
            </w:pPr>
            <w:r w:rsidRPr="000C2AB1">
              <w:rPr>
                <w:rFonts w:cs="Calibri"/>
                <w:i/>
                <w:iCs/>
                <w:color w:val="000000"/>
                <w:lang w:eastAsia="it-IT"/>
              </w:rPr>
              <w:t>11,35</w:t>
            </w:r>
          </w:p>
        </w:tc>
        <w:tc>
          <w:tcPr>
            <w:tcW w:w="1160" w:type="dxa"/>
            <w:tcBorders>
              <w:top w:val="nil"/>
              <w:left w:val="nil"/>
              <w:bottom w:val="single" w:sz="8" w:space="0" w:color="auto"/>
              <w:right w:val="single" w:sz="8" w:space="0" w:color="auto"/>
            </w:tcBorders>
            <w:shd w:val="clear" w:color="auto" w:fill="auto"/>
            <w:noWrap/>
            <w:vAlign w:val="center"/>
            <w:hideMark/>
          </w:tcPr>
          <w:p w:rsidR="00E6628E" w:rsidRPr="000C2AB1" w:rsidRDefault="00E6628E" w:rsidP="00563141">
            <w:pPr>
              <w:jc w:val="center"/>
              <w:rPr>
                <w:rFonts w:cs="Calibri"/>
                <w:i/>
                <w:iCs/>
                <w:color w:val="000000"/>
                <w:lang w:eastAsia="it-IT"/>
              </w:rPr>
            </w:pPr>
            <w:r w:rsidRPr="000C2AB1">
              <w:rPr>
                <w:rFonts w:cs="Calibri"/>
                <w:i/>
                <w:iCs/>
                <w:color w:val="000000"/>
                <w:lang w:eastAsia="it-IT"/>
              </w:rPr>
              <w:t>12,27</w:t>
            </w:r>
          </w:p>
        </w:tc>
      </w:tr>
    </w:tbl>
    <w:p w:rsidR="002C5959" w:rsidRDefault="00C72BCD" w:rsidP="002C5959">
      <w:pPr>
        <w:spacing w:line="240" w:lineRule="auto"/>
        <w:jc w:val="both"/>
      </w:pPr>
      <w:r>
        <w:t>La figura</w:t>
      </w:r>
      <w:r w:rsidR="002C5959">
        <w:t xml:space="preserve"> seguente, riporta il </w:t>
      </w:r>
      <w:r w:rsidR="002C5959">
        <w:rPr>
          <w:i/>
        </w:rPr>
        <w:t>trend</w:t>
      </w:r>
      <w:r w:rsidR="002C5959">
        <w:t xml:space="preserve"> della </w:t>
      </w:r>
      <w:r w:rsidR="002C5959">
        <w:rPr>
          <w:b/>
        </w:rPr>
        <w:t>valutazione media</w:t>
      </w:r>
      <w:r w:rsidR="002C5959">
        <w:t xml:space="preserve"> registrata negli anni 2020-2022. E’ di tutta evidenza </w:t>
      </w:r>
      <w:r w:rsidR="002C5959">
        <w:rPr>
          <w:b/>
        </w:rPr>
        <w:t>l’andamento crescente</w:t>
      </w:r>
      <w:r w:rsidR="002C5959">
        <w:t xml:space="preserve"> della stessa, come </w:t>
      </w:r>
      <w:r>
        <w:t>suddiviso</w:t>
      </w:r>
      <w:r w:rsidR="002C5959">
        <w:t xml:space="preserve"> nella Tab. 6).</w:t>
      </w:r>
    </w:p>
    <w:p w:rsidR="00210242" w:rsidRDefault="00684487" w:rsidP="00210242">
      <w:pPr>
        <w:spacing w:line="360" w:lineRule="auto"/>
        <w:ind w:right="141"/>
        <w:jc w:val="both"/>
      </w:pPr>
      <w:r w:rsidRPr="00012282">
        <w:rPr>
          <w:b/>
          <w:i/>
        </w:rPr>
        <w:t>Fig.</w:t>
      </w:r>
      <w:r>
        <w:rPr>
          <w:b/>
          <w:i/>
        </w:rPr>
        <w:t>3</w:t>
      </w:r>
      <w:r w:rsidRPr="00012282">
        <w:rPr>
          <w:b/>
          <w:i/>
        </w:rPr>
        <w:t>)</w:t>
      </w:r>
      <w:r w:rsidR="006E1C6F" w:rsidRPr="006E1C6F">
        <w:rPr>
          <w:noProof/>
          <w:lang w:eastAsia="it-IT"/>
        </w:rPr>
        <w:drawing>
          <wp:inline distT="0" distB="0" distL="0" distR="0">
            <wp:extent cx="3690938" cy="2971799"/>
            <wp:effectExtent l="19050" t="0" r="23812" b="1"/>
            <wp:docPr id="10" name="Gra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E1C6F" w:rsidRDefault="006E1C6F" w:rsidP="006E1C6F">
      <w:pPr>
        <w:spacing w:line="360" w:lineRule="auto"/>
        <w:ind w:right="141"/>
        <w:jc w:val="both"/>
      </w:pPr>
      <w:r>
        <w:t xml:space="preserve">La tabella </w:t>
      </w:r>
      <w:r w:rsidR="00EF1F05">
        <w:t>6</w:t>
      </w:r>
      <w:r>
        <w:t xml:space="preserve">) riporta, alla seconda riga, i valori registrati dallo scarto quadratico medio rispetto alla valutazione media riportata alla prima riga. Lo scarto quadratico medio è stato preso quale indice di dispersione delle valutazioni rispetto al dato medio. La suddetta tabella evidenzia il </w:t>
      </w:r>
      <w:r>
        <w:rPr>
          <w:b/>
          <w:i/>
        </w:rPr>
        <w:t>trend</w:t>
      </w:r>
      <w:r>
        <w:rPr>
          <w:b/>
        </w:rPr>
        <w:t xml:space="preserve"> crescente</w:t>
      </w:r>
      <w:r>
        <w:t xml:space="preserve"> della dispersione, come meglio evidenziato nella successiva figura 4.</w:t>
      </w:r>
    </w:p>
    <w:p w:rsidR="00210242" w:rsidRDefault="00210242" w:rsidP="00210242">
      <w:pPr>
        <w:spacing w:line="360" w:lineRule="auto"/>
        <w:ind w:right="141"/>
        <w:jc w:val="both"/>
        <w:rPr>
          <w:b/>
          <w:i/>
          <w:highlight w:val="yellow"/>
        </w:rPr>
      </w:pPr>
    </w:p>
    <w:p w:rsidR="00210242" w:rsidRDefault="00210242" w:rsidP="00210242">
      <w:pPr>
        <w:spacing w:line="360" w:lineRule="auto"/>
        <w:ind w:right="141"/>
        <w:jc w:val="both"/>
        <w:rPr>
          <w:b/>
          <w:i/>
        </w:rPr>
      </w:pPr>
      <w:r w:rsidRPr="00012282">
        <w:rPr>
          <w:b/>
          <w:i/>
        </w:rPr>
        <w:t>Fig. 4)</w:t>
      </w:r>
    </w:p>
    <w:p w:rsidR="00210242" w:rsidRDefault="00C9760F" w:rsidP="00210242">
      <w:pPr>
        <w:spacing w:line="360" w:lineRule="auto"/>
        <w:ind w:right="141"/>
        <w:jc w:val="both"/>
      </w:pPr>
      <w:r w:rsidRPr="00C9760F">
        <w:rPr>
          <w:noProof/>
          <w:lang w:eastAsia="it-IT"/>
        </w:rPr>
        <w:lastRenderedPageBreak/>
        <w:drawing>
          <wp:inline distT="0" distB="0" distL="0" distR="0">
            <wp:extent cx="4348163" cy="2743200"/>
            <wp:effectExtent l="19050" t="0" r="14287" b="0"/>
            <wp:docPr id="11" name="Gra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F4C94" w:rsidRDefault="007F4C94" w:rsidP="0068391B">
      <w:pPr>
        <w:spacing w:line="360" w:lineRule="auto"/>
        <w:ind w:right="141"/>
        <w:jc w:val="both"/>
      </w:pPr>
    </w:p>
    <w:p w:rsidR="0068391B" w:rsidRDefault="0068391B" w:rsidP="0068391B">
      <w:pPr>
        <w:spacing w:line="360" w:lineRule="auto"/>
        <w:ind w:right="141"/>
        <w:jc w:val="both"/>
      </w:pPr>
      <w:r>
        <w:t xml:space="preserve">Dalla tabella </w:t>
      </w:r>
      <w:r w:rsidR="006F663B">
        <w:t>6</w:t>
      </w:r>
      <w:r>
        <w:t>) e dalle figure 3. e 4. si evince come l’applicazione del nuovo sistema unico di valutazione abbia comportato un inc</w:t>
      </w:r>
      <w:r w:rsidR="002546E9">
        <w:t>remento della valutazione media</w:t>
      </w:r>
      <w:r>
        <w:t>. Ciò significa:</w:t>
      </w:r>
    </w:p>
    <w:p w:rsidR="0068391B" w:rsidRDefault="0068391B" w:rsidP="0068391B">
      <w:pPr>
        <w:numPr>
          <w:ilvl w:val="1"/>
          <w:numId w:val="7"/>
        </w:numPr>
        <w:spacing w:after="0" w:line="360" w:lineRule="auto"/>
        <w:ind w:left="709" w:right="141" w:hanging="425"/>
        <w:jc w:val="both"/>
      </w:pPr>
      <w:r>
        <w:t>una maggiore concentrazione di personale valutato nella fascia alta (e massima – 130 punti);</w:t>
      </w:r>
    </w:p>
    <w:p w:rsidR="0068391B" w:rsidRDefault="0068391B" w:rsidP="0068391B">
      <w:pPr>
        <w:numPr>
          <w:ilvl w:val="1"/>
          <w:numId w:val="7"/>
        </w:numPr>
        <w:spacing w:after="0" w:line="360" w:lineRule="auto"/>
        <w:ind w:left="709" w:right="141" w:hanging="425"/>
        <w:jc w:val="both"/>
      </w:pPr>
      <w:r>
        <w:t>una minore distribuzione del personale valutato nelle diverse fasce.</w:t>
      </w:r>
    </w:p>
    <w:p w:rsidR="00A65C9B" w:rsidRDefault="00A65C9B">
      <w:pPr>
        <w:spacing w:after="0" w:line="240" w:lineRule="auto"/>
      </w:pPr>
      <w:r>
        <w:br w:type="page"/>
      </w:r>
    </w:p>
    <w:p w:rsidR="00E052B2" w:rsidRDefault="00E052B2" w:rsidP="00E052B2">
      <w:pPr>
        <w:spacing w:after="0" w:line="240" w:lineRule="auto"/>
        <w:ind w:left="709" w:right="142"/>
        <w:jc w:val="both"/>
      </w:pPr>
    </w:p>
    <w:p w:rsidR="009B419D" w:rsidRPr="001733FE" w:rsidRDefault="000662DD" w:rsidP="009B419D">
      <w:pPr>
        <w:autoSpaceDE w:val="0"/>
        <w:autoSpaceDN w:val="0"/>
        <w:adjustRightInd w:val="0"/>
        <w:spacing w:after="0" w:line="240" w:lineRule="auto"/>
        <w:rPr>
          <w:b/>
          <w:bCs/>
          <w:lang w:eastAsia="it-IT"/>
        </w:rPr>
      </w:pPr>
      <w:r w:rsidRPr="00D7230D">
        <w:rPr>
          <w:b/>
          <w:bCs/>
          <w:lang w:eastAsia="it-IT"/>
        </w:rPr>
        <w:t>4._</w:t>
      </w:r>
      <w:r w:rsidR="009B419D" w:rsidRPr="00D7230D">
        <w:rPr>
          <w:b/>
          <w:bCs/>
          <w:lang w:eastAsia="it-IT"/>
        </w:rPr>
        <w:t>TRASPARENZA, INTEGRITÀ E RISPETTO DEGLI OBBLIGHI DI PUBBLICAZIONE</w:t>
      </w:r>
    </w:p>
    <w:p w:rsidR="005A06B3" w:rsidRDefault="005A06B3" w:rsidP="009B419D">
      <w:pPr>
        <w:autoSpaceDE w:val="0"/>
        <w:autoSpaceDN w:val="0"/>
        <w:adjustRightInd w:val="0"/>
        <w:spacing w:after="0" w:line="240" w:lineRule="auto"/>
        <w:rPr>
          <w:b/>
          <w:bCs/>
          <w:lang w:eastAsia="it-IT"/>
        </w:rPr>
      </w:pPr>
    </w:p>
    <w:p w:rsidR="00E7723E" w:rsidRPr="001733FE" w:rsidRDefault="00E7723E" w:rsidP="00E7723E">
      <w:pPr>
        <w:autoSpaceDE w:val="0"/>
        <w:autoSpaceDN w:val="0"/>
        <w:adjustRightInd w:val="0"/>
        <w:spacing w:after="0" w:line="240" w:lineRule="auto"/>
        <w:rPr>
          <w:b/>
          <w:bCs/>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36"/>
        <w:gridCol w:w="5842"/>
      </w:tblGrid>
      <w:tr w:rsidR="00E7723E" w:rsidRPr="001733FE" w:rsidTr="00D7230D">
        <w:tc>
          <w:tcPr>
            <w:tcW w:w="3936" w:type="dxa"/>
          </w:tcPr>
          <w:p w:rsidR="00E7723E" w:rsidRPr="001733FE" w:rsidRDefault="00E7723E" w:rsidP="00D7230D">
            <w:r w:rsidRPr="001733FE">
              <w:rPr>
                <w:b/>
                <w:bCs/>
                <w:lang w:eastAsia="it-IT"/>
              </w:rPr>
              <w:t xml:space="preserve">Aspetti monitorati </w:t>
            </w:r>
          </w:p>
        </w:tc>
        <w:tc>
          <w:tcPr>
            <w:tcW w:w="5842" w:type="dxa"/>
          </w:tcPr>
          <w:p w:rsidR="00E7723E" w:rsidRPr="001733FE" w:rsidRDefault="00E7723E" w:rsidP="00D7230D">
            <w:r w:rsidRPr="001733FE">
              <w:rPr>
                <w:b/>
                <w:bCs/>
                <w:lang w:eastAsia="it-IT"/>
              </w:rPr>
              <w:t>Esiti delle verifiche effettuate</w:t>
            </w:r>
          </w:p>
        </w:tc>
      </w:tr>
      <w:tr w:rsidR="00E7723E" w:rsidRPr="001733FE" w:rsidTr="00D7230D">
        <w:tc>
          <w:tcPr>
            <w:tcW w:w="3936" w:type="dxa"/>
          </w:tcPr>
          <w:p w:rsidR="00E7723E" w:rsidRPr="001733FE" w:rsidRDefault="00E7723E" w:rsidP="00D7230D">
            <w:pPr>
              <w:spacing w:after="0" w:line="240" w:lineRule="auto"/>
            </w:pPr>
            <w:r>
              <w:t>Consulenti e collaboratori</w:t>
            </w:r>
          </w:p>
        </w:tc>
        <w:tc>
          <w:tcPr>
            <w:tcW w:w="5842" w:type="dxa"/>
          </w:tcPr>
          <w:p w:rsidR="00E7723E" w:rsidRPr="001733FE" w:rsidRDefault="00E7723E" w:rsidP="00D7230D">
            <w:pPr>
              <w:spacing w:after="0" w:line="240" w:lineRule="auto"/>
            </w:pPr>
            <w:r w:rsidRPr="001733FE">
              <w:t>Obblighi rispettati da punto di vista della pubblicazione, completezza rispetto al contenuto e rispetto agli uffici, aggiornamento e apertura del formato.</w:t>
            </w:r>
          </w:p>
          <w:p w:rsidR="00E7723E" w:rsidRPr="001733FE" w:rsidRDefault="00E7723E" w:rsidP="00D7230D">
            <w:pPr>
              <w:spacing w:after="0" w:line="240" w:lineRule="auto"/>
            </w:pPr>
          </w:p>
        </w:tc>
      </w:tr>
      <w:tr w:rsidR="00E7723E" w:rsidRPr="001733FE" w:rsidTr="00D7230D">
        <w:tc>
          <w:tcPr>
            <w:tcW w:w="3936" w:type="dxa"/>
          </w:tcPr>
          <w:p w:rsidR="00E7723E" w:rsidRPr="001733FE" w:rsidRDefault="00E7723E" w:rsidP="00D7230D">
            <w:pPr>
              <w:spacing w:after="0" w:line="240" w:lineRule="auto"/>
            </w:pPr>
            <w:r w:rsidRPr="0062436A">
              <w:t>Bandi di concorso</w:t>
            </w:r>
          </w:p>
        </w:tc>
        <w:tc>
          <w:tcPr>
            <w:tcW w:w="5842" w:type="dxa"/>
          </w:tcPr>
          <w:p w:rsidR="00E7723E" w:rsidRDefault="00E7723E" w:rsidP="00D7230D">
            <w:pPr>
              <w:spacing w:after="0" w:line="240" w:lineRule="auto"/>
            </w:pPr>
            <w:r w:rsidRPr="001733FE">
              <w:t>Obblighi rispettati da punto di vista della pubblicazione, completezza rispetto al contenuto e rispetto agli uffici, aggiornamento e apertura del formato.</w:t>
            </w:r>
          </w:p>
          <w:p w:rsidR="00E7723E" w:rsidRPr="001733FE" w:rsidRDefault="00E7723E" w:rsidP="00D7230D">
            <w:pPr>
              <w:spacing w:after="0" w:line="240" w:lineRule="auto"/>
            </w:pPr>
          </w:p>
        </w:tc>
      </w:tr>
      <w:tr w:rsidR="00E7723E" w:rsidRPr="001733FE" w:rsidTr="00D7230D">
        <w:tc>
          <w:tcPr>
            <w:tcW w:w="3936" w:type="dxa"/>
          </w:tcPr>
          <w:p w:rsidR="00E7723E" w:rsidRPr="001733FE" w:rsidRDefault="00E7723E" w:rsidP="00D7230D">
            <w:pPr>
              <w:spacing w:after="0" w:line="240" w:lineRule="auto"/>
            </w:pPr>
            <w:r>
              <w:t>Attività e procedimenti</w:t>
            </w:r>
          </w:p>
        </w:tc>
        <w:tc>
          <w:tcPr>
            <w:tcW w:w="5842" w:type="dxa"/>
          </w:tcPr>
          <w:p w:rsidR="00E7723E" w:rsidRPr="001733FE" w:rsidRDefault="00E7723E" w:rsidP="00D7230D">
            <w:pPr>
              <w:spacing w:after="0" w:line="240" w:lineRule="auto"/>
            </w:pPr>
            <w:r w:rsidRPr="001733FE">
              <w:t>Obblighi rispettati da punto di vista della pubblicazione, completezza rispetto al contenuto e rispetto agli uffici, aggiornamento e apertura del formato.</w:t>
            </w:r>
          </w:p>
          <w:p w:rsidR="00E7723E" w:rsidRPr="001733FE" w:rsidRDefault="00E7723E" w:rsidP="00D7230D">
            <w:pPr>
              <w:spacing w:after="0" w:line="240" w:lineRule="auto"/>
            </w:pPr>
          </w:p>
        </w:tc>
      </w:tr>
      <w:tr w:rsidR="00E7723E" w:rsidRPr="001733FE" w:rsidTr="00D7230D">
        <w:tc>
          <w:tcPr>
            <w:tcW w:w="3936" w:type="dxa"/>
          </w:tcPr>
          <w:p w:rsidR="00E7723E" w:rsidRPr="001733FE" w:rsidRDefault="00E7723E" w:rsidP="00D7230D">
            <w:pPr>
              <w:spacing w:after="0" w:line="240" w:lineRule="auto"/>
            </w:pPr>
            <w:r w:rsidRPr="0062436A">
              <w:t>Sovvenzioni, contributi, sussidi, vantaggi economici</w:t>
            </w:r>
          </w:p>
        </w:tc>
        <w:tc>
          <w:tcPr>
            <w:tcW w:w="5842" w:type="dxa"/>
          </w:tcPr>
          <w:p w:rsidR="00E7723E" w:rsidRPr="001733FE" w:rsidRDefault="00E7723E" w:rsidP="00D7230D">
            <w:pPr>
              <w:spacing w:after="0" w:line="240" w:lineRule="auto"/>
            </w:pPr>
            <w:r w:rsidRPr="001733FE">
              <w:t>Obblighi rispettati da punto di vista della pubblicazione, completezza rispetto al contenuto e rispetto agli uffici, aggiornamento e apertura del formato.</w:t>
            </w:r>
          </w:p>
          <w:p w:rsidR="00E7723E" w:rsidRPr="001733FE" w:rsidRDefault="00E7723E" w:rsidP="00D7230D">
            <w:pPr>
              <w:spacing w:after="0" w:line="240" w:lineRule="auto"/>
            </w:pPr>
          </w:p>
        </w:tc>
      </w:tr>
      <w:tr w:rsidR="00E7723E" w:rsidRPr="001733FE" w:rsidTr="00D7230D">
        <w:tc>
          <w:tcPr>
            <w:tcW w:w="3936" w:type="dxa"/>
          </w:tcPr>
          <w:p w:rsidR="00E7723E" w:rsidRPr="001733FE" w:rsidRDefault="00E7723E" w:rsidP="00D7230D">
            <w:pPr>
              <w:spacing w:after="0" w:line="240" w:lineRule="auto"/>
            </w:pPr>
            <w:r>
              <w:rPr>
                <w:rFonts w:eastAsia="Times New Roman"/>
                <w:bCs/>
                <w:lang w:eastAsia="it-IT"/>
              </w:rPr>
              <w:t>Servizi erogati</w:t>
            </w:r>
          </w:p>
        </w:tc>
        <w:tc>
          <w:tcPr>
            <w:tcW w:w="5842" w:type="dxa"/>
          </w:tcPr>
          <w:p w:rsidR="00E7723E" w:rsidRDefault="00E7723E" w:rsidP="00D7230D">
            <w:pPr>
              <w:spacing w:after="0" w:line="240" w:lineRule="auto"/>
            </w:pPr>
            <w:r w:rsidRPr="001733FE">
              <w:t>Obblighi rispettati da punto di vista della pubblicazione, completezza rispetto al contenuto e rispetto agli uffici, aggiornamento e apertura del formato.</w:t>
            </w:r>
          </w:p>
          <w:p w:rsidR="00E7723E" w:rsidRPr="001733FE" w:rsidRDefault="00E7723E" w:rsidP="009C1A20">
            <w:pPr>
              <w:spacing w:after="0" w:line="240" w:lineRule="auto"/>
            </w:pPr>
          </w:p>
        </w:tc>
      </w:tr>
      <w:tr w:rsidR="00E7723E" w:rsidRPr="001733FE" w:rsidTr="00D7230D">
        <w:tc>
          <w:tcPr>
            <w:tcW w:w="3936" w:type="dxa"/>
          </w:tcPr>
          <w:p w:rsidR="00E7723E" w:rsidRPr="001733FE" w:rsidRDefault="00E7723E" w:rsidP="00D7230D">
            <w:pPr>
              <w:spacing w:after="0" w:line="240" w:lineRule="auto"/>
            </w:pPr>
            <w:r w:rsidRPr="001733FE">
              <w:rPr>
                <w:rFonts w:eastAsia="Times New Roman"/>
                <w:bCs/>
                <w:lang w:eastAsia="it-IT"/>
              </w:rPr>
              <w:t>Informazioni ambientali e sue sottosezioni</w:t>
            </w:r>
          </w:p>
        </w:tc>
        <w:tc>
          <w:tcPr>
            <w:tcW w:w="5842" w:type="dxa"/>
          </w:tcPr>
          <w:p w:rsidR="00E7723E" w:rsidRPr="001733FE" w:rsidRDefault="00E7723E" w:rsidP="00D7230D">
            <w:pPr>
              <w:spacing w:after="0" w:line="240" w:lineRule="auto"/>
            </w:pPr>
            <w:r w:rsidRPr="001733FE">
              <w:t>Obblighi rispettati da punto di vista della pubblicazione, completezza rispetto al contenuto e rispetto agli uffici, aggiornamento e apertura del formato.</w:t>
            </w:r>
          </w:p>
          <w:p w:rsidR="00E7723E" w:rsidRPr="001733FE" w:rsidRDefault="00E7723E" w:rsidP="00D7230D">
            <w:pPr>
              <w:spacing w:after="0" w:line="240" w:lineRule="auto"/>
            </w:pPr>
          </w:p>
        </w:tc>
      </w:tr>
    </w:tbl>
    <w:p w:rsidR="00E7723E" w:rsidRPr="001733FE" w:rsidRDefault="00E7723E" w:rsidP="00E7723E">
      <w:pPr>
        <w:rPr>
          <w:rFonts w:cs="Arial"/>
        </w:rPr>
      </w:pPr>
    </w:p>
    <w:p w:rsidR="00E7723E" w:rsidRPr="009C1A20" w:rsidRDefault="00E7723E" w:rsidP="00E7723E">
      <w:pPr>
        <w:pStyle w:val="NormaleWeb"/>
        <w:jc w:val="both"/>
        <w:rPr>
          <w:rFonts w:ascii="Calibri" w:hAnsi="Calibri" w:cs="Calibri"/>
          <w:sz w:val="22"/>
          <w:szCs w:val="22"/>
        </w:rPr>
      </w:pPr>
      <w:r w:rsidRPr="009C1A20">
        <w:rPr>
          <w:rFonts w:ascii="Calibri" w:hAnsi="Calibri"/>
          <w:sz w:val="22"/>
          <w:szCs w:val="22"/>
        </w:rPr>
        <w:t xml:space="preserve">I dati sono ricavati dall’attestazione sull’assolvimento degli obblighi di pubblicazione al </w:t>
      </w:r>
      <w:r w:rsidR="009C1A20" w:rsidRPr="009C1A20">
        <w:rPr>
          <w:rFonts w:ascii="Calibri" w:hAnsi="Calibri"/>
          <w:sz w:val="22"/>
          <w:szCs w:val="22"/>
        </w:rPr>
        <w:t>31/05/2022</w:t>
      </w:r>
      <w:r w:rsidRPr="009C1A20">
        <w:rPr>
          <w:rFonts w:ascii="Calibri" w:hAnsi="Calibri"/>
          <w:sz w:val="22"/>
          <w:szCs w:val="22"/>
        </w:rPr>
        <w:t xml:space="preserve"> nelle amministrazioni pubbliche e in altri enti e società indicati dal d.lgs. n. 33/2013, predisposta secondo le indicazioni dettate </w:t>
      </w:r>
      <w:r w:rsidR="009C1A20" w:rsidRPr="009C1A20">
        <w:rPr>
          <w:rFonts w:ascii="Calibri" w:hAnsi="Calibri"/>
          <w:sz w:val="22"/>
          <w:szCs w:val="22"/>
        </w:rPr>
        <w:t xml:space="preserve"> dalle delibere ANAC n. 1310/2016 e n. 201/2022,</w:t>
      </w:r>
    </w:p>
    <w:p w:rsidR="00E7723E" w:rsidRDefault="00E7723E" w:rsidP="00E7723E">
      <w:pPr>
        <w:pStyle w:val="NormaleWeb"/>
        <w:jc w:val="both"/>
        <w:rPr>
          <w:rFonts w:ascii="Calibri" w:hAnsi="Calibri"/>
          <w:sz w:val="22"/>
          <w:szCs w:val="22"/>
        </w:rPr>
      </w:pPr>
      <w:r w:rsidRPr="00A65C9B">
        <w:rPr>
          <w:rFonts w:ascii="Calibri" w:hAnsi="Calibri"/>
          <w:sz w:val="22"/>
          <w:szCs w:val="22"/>
        </w:rPr>
        <w:t>Tale attestazione è pubblicata nella sezione trasparenza del sito istituzionale alla pagina:</w:t>
      </w:r>
      <w:r w:rsidR="00A65C9B" w:rsidRPr="00A65C9B">
        <w:t xml:space="preserve"> </w:t>
      </w:r>
      <w:hyperlink r:id="rId12" w:history="1">
        <w:r w:rsidR="00A65C9B" w:rsidRPr="00256FD5">
          <w:rPr>
            <w:rStyle w:val="Collegamentoipertestuale"/>
            <w:rFonts w:ascii="Calibri" w:hAnsi="Calibri"/>
            <w:sz w:val="22"/>
            <w:szCs w:val="22"/>
          </w:rPr>
          <w:t>https://nuovo.cittametropolitana.ve.it/amministrazione-trasparente/controlli-e-rilievi-amministrazione/organismi-indipendenti-valutazione-nuclei-valutazione-altri-organismi-funzioni-analoghe/attestazione-31-05-22</w:t>
        </w:r>
      </w:hyperlink>
    </w:p>
    <w:p w:rsidR="00A65C9B" w:rsidRPr="00A65C9B" w:rsidRDefault="00A65C9B" w:rsidP="00E7723E">
      <w:pPr>
        <w:pStyle w:val="NormaleWeb"/>
        <w:jc w:val="both"/>
        <w:rPr>
          <w:rFonts w:ascii="Calibri" w:hAnsi="Calibri"/>
          <w:sz w:val="22"/>
          <w:szCs w:val="22"/>
          <w:specVanish/>
        </w:rPr>
      </w:pPr>
    </w:p>
    <w:p w:rsidR="00A65C9B" w:rsidRDefault="00A65C9B">
      <w:pPr>
        <w:spacing w:after="0" w:line="240" w:lineRule="auto"/>
        <w:rPr>
          <w:rFonts w:eastAsia="Times New Roman"/>
          <w:lang w:eastAsia="it-IT"/>
        </w:rPr>
      </w:pPr>
      <w:r>
        <w:br w:type="page"/>
      </w:r>
    </w:p>
    <w:p w:rsidR="00E7723E" w:rsidRPr="001733FE" w:rsidRDefault="00E7723E" w:rsidP="00E7723E">
      <w:pPr>
        <w:pStyle w:val="NormaleWeb"/>
        <w:jc w:val="both"/>
        <w:rPr>
          <w:rFonts w:ascii="Calibri" w:hAnsi="Calibri"/>
          <w:sz w:val="22"/>
          <w:szCs w:val="22"/>
        </w:rPr>
      </w:pPr>
    </w:p>
    <w:p w:rsidR="001733FE" w:rsidRDefault="001733FE" w:rsidP="009B419D">
      <w:pPr>
        <w:autoSpaceDE w:val="0"/>
        <w:autoSpaceDN w:val="0"/>
        <w:adjustRightInd w:val="0"/>
        <w:spacing w:after="0" w:line="240" w:lineRule="auto"/>
        <w:rPr>
          <w:b/>
          <w:bCs/>
          <w:lang w:eastAsia="it-IT"/>
        </w:rPr>
      </w:pPr>
    </w:p>
    <w:p w:rsidR="00BE625A" w:rsidRPr="001733FE" w:rsidRDefault="00BE625A" w:rsidP="009B419D">
      <w:pPr>
        <w:autoSpaceDE w:val="0"/>
        <w:autoSpaceDN w:val="0"/>
        <w:adjustRightInd w:val="0"/>
        <w:spacing w:after="0" w:line="240" w:lineRule="auto"/>
        <w:rPr>
          <w:b/>
          <w:bCs/>
          <w:lang w:eastAsia="it-IT"/>
        </w:rPr>
      </w:pPr>
      <w:r w:rsidRPr="005B5F99">
        <w:rPr>
          <w:b/>
          <w:bCs/>
          <w:lang w:eastAsia="it-IT"/>
        </w:rPr>
        <w:t xml:space="preserve">5._ ATTIVITÀ DEL NUCLEO </w:t>
      </w:r>
      <w:proofErr w:type="spellStart"/>
      <w:r w:rsidRPr="005B5F99">
        <w:rPr>
          <w:b/>
          <w:bCs/>
          <w:lang w:eastAsia="it-IT"/>
        </w:rPr>
        <w:t>DI</w:t>
      </w:r>
      <w:proofErr w:type="spellEnd"/>
      <w:r w:rsidRPr="005B5F99">
        <w:rPr>
          <w:b/>
          <w:bCs/>
          <w:lang w:eastAsia="it-IT"/>
        </w:rPr>
        <w:t xml:space="preserve"> VALUTAZIONE </w:t>
      </w:r>
      <w:r w:rsidR="00E06108">
        <w:rPr>
          <w:b/>
          <w:bCs/>
          <w:lang w:eastAsia="it-IT"/>
        </w:rPr>
        <w:t>ANNO 2022</w:t>
      </w:r>
    </w:p>
    <w:p w:rsidR="00BE625A" w:rsidRPr="001733FE" w:rsidRDefault="00BE625A" w:rsidP="009B419D">
      <w:pPr>
        <w:autoSpaceDE w:val="0"/>
        <w:autoSpaceDN w:val="0"/>
        <w:adjustRightInd w:val="0"/>
        <w:spacing w:after="0" w:line="240" w:lineRule="auto"/>
        <w:rPr>
          <w:b/>
          <w:bCs/>
          <w:lang w:eastAsia="it-IT"/>
        </w:rPr>
      </w:pPr>
    </w:p>
    <w:p w:rsidR="00C57775" w:rsidRDefault="00BE625A" w:rsidP="00AD4328">
      <w:pPr>
        <w:autoSpaceDE w:val="0"/>
        <w:autoSpaceDN w:val="0"/>
        <w:adjustRightInd w:val="0"/>
        <w:spacing w:after="0" w:line="240" w:lineRule="auto"/>
        <w:jc w:val="both"/>
      </w:pPr>
      <w:r w:rsidRPr="00C21911">
        <w:t>Con decreto del Sindaco metropolitano n. 17 del 30 gennaio 2019 è stata nominata, per un triennio, componente unica del Nucleo di valutazione della Città metropolitana di Venezia, la dott.ssa Elisabetta Cattini.</w:t>
      </w:r>
      <w:r w:rsidR="00AD4328" w:rsidRPr="00C21911">
        <w:t xml:space="preserve"> </w:t>
      </w:r>
      <w:r w:rsidR="00C57775" w:rsidRPr="00C21911">
        <w:t xml:space="preserve">L’incarico alla dott.ssa Cattini è stato poi prorogato con </w:t>
      </w:r>
      <w:r w:rsidR="00BD77AE" w:rsidRPr="00C21911">
        <w:t>delibera del Sindaco metropolitano n.33 del 14/06/2022.</w:t>
      </w:r>
    </w:p>
    <w:p w:rsidR="00C57775" w:rsidRDefault="00C57775" w:rsidP="00AD4328">
      <w:pPr>
        <w:autoSpaceDE w:val="0"/>
        <w:autoSpaceDN w:val="0"/>
        <w:adjustRightInd w:val="0"/>
        <w:spacing w:after="0" w:line="240" w:lineRule="auto"/>
        <w:jc w:val="both"/>
      </w:pPr>
    </w:p>
    <w:p w:rsidR="00BE625A" w:rsidRDefault="00AD4328" w:rsidP="00AD4328">
      <w:pPr>
        <w:autoSpaceDE w:val="0"/>
        <w:autoSpaceDN w:val="0"/>
        <w:adjustRightInd w:val="0"/>
        <w:spacing w:after="0" w:line="240" w:lineRule="auto"/>
        <w:jc w:val="both"/>
      </w:pPr>
      <w:r w:rsidRPr="001733FE">
        <w:t>Nella tabella sottostante si riportano le sedute svolte e gli argomenti trattati:</w:t>
      </w:r>
    </w:p>
    <w:p w:rsidR="000748D7" w:rsidRPr="001733FE" w:rsidRDefault="000748D7" w:rsidP="00AD4328">
      <w:pPr>
        <w:autoSpaceDE w:val="0"/>
        <w:autoSpaceDN w:val="0"/>
        <w:adjustRightInd w:val="0"/>
        <w:spacing w:after="0" w:line="240" w:lineRule="auto"/>
        <w:jc w:val="both"/>
      </w:pPr>
    </w:p>
    <w:p w:rsidR="00AD4328" w:rsidRPr="001733FE" w:rsidRDefault="00AD4328" w:rsidP="00AD4328">
      <w:pPr>
        <w:autoSpaceDE w:val="0"/>
        <w:autoSpaceDN w:val="0"/>
        <w:adjustRightInd w:val="0"/>
        <w:spacing w:after="0" w:line="24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89"/>
        <w:gridCol w:w="4889"/>
      </w:tblGrid>
      <w:tr w:rsidR="00BE625A" w:rsidRPr="001733FE" w:rsidTr="00E74287">
        <w:tc>
          <w:tcPr>
            <w:tcW w:w="4889" w:type="dxa"/>
          </w:tcPr>
          <w:p w:rsidR="00BE625A" w:rsidRPr="001733FE" w:rsidRDefault="00BE625A" w:rsidP="000B2582">
            <w:r w:rsidRPr="001733FE">
              <w:t xml:space="preserve">Sedute </w:t>
            </w:r>
          </w:p>
        </w:tc>
        <w:tc>
          <w:tcPr>
            <w:tcW w:w="4889" w:type="dxa"/>
          </w:tcPr>
          <w:p w:rsidR="00BE625A" w:rsidRPr="001733FE" w:rsidRDefault="00BE625A" w:rsidP="000B2582">
            <w:r w:rsidRPr="001733FE">
              <w:t>Argomenti trattati</w:t>
            </w:r>
          </w:p>
        </w:tc>
      </w:tr>
      <w:tr w:rsidR="00BE625A" w:rsidRPr="001733FE" w:rsidTr="00E74287">
        <w:tc>
          <w:tcPr>
            <w:tcW w:w="4889" w:type="dxa"/>
          </w:tcPr>
          <w:p w:rsidR="00BE625A" w:rsidRPr="001733FE" w:rsidRDefault="00C21911" w:rsidP="00E74287">
            <w:pPr>
              <w:autoSpaceDE w:val="0"/>
              <w:autoSpaceDN w:val="0"/>
              <w:adjustRightInd w:val="0"/>
              <w:spacing w:after="0" w:line="240" w:lineRule="auto"/>
              <w:jc w:val="both"/>
            </w:pPr>
            <w:r>
              <w:t>23/03/2022</w:t>
            </w:r>
          </w:p>
        </w:tc>
        <w:tc>
          <w:tcPr>
            <w:tcW w:w="4889" w:type="dxa"/>
          </w:tcPr>
          <w:p w:rsidR="00C21911" w:rsidRPr="00C21911" w:rsidRDefault="00C21911" w:rsidP="00C21911">
            <w:pPr>
              <w:spacing w:after="0" w:line="240" w:lineRule="auto"/>
              <w:jc w:val="both"/>
            </w:pPr>
            <w:r w:rsidRPr="00C21911">
              <w:t>Verifica dei risultati ottenuti da ciascun servizio rispetto agli obiettivi operativi e gestionali assegnati nel 2021.</w:t>
            </w:r>
          </w:p>
          <w:p w:rsidR="00BE625A" w:rsidRPr="001733FE" w:rsidRDefault="00BE625A" w:rsidP="00E74287">
            <w:pPr>
              <w:autoSpaceDE w:val="0"/>
              <w:autoSpaceDN w:val="0"/>
              <w:adjustRightInd w:val="0"/>
              <w:spacing w:after="0" w:line="240" w:lineRule="auto"/>
            </w:pPr>
          </w:p>
        </w:tc>
      </w:tr>
      <w:tr w:rsidR="00BE625A" w:rsidRPr="001733FE" w:rsidTr="00E74287">
        <w:tc>
          <w:tcPr>
            <w:tcW w:w="4889" w:type="dxa"/>
          </w:tcPr>
          <w:p w:rsidR="00BE625A" w:rsidRPr="001733FE" w:rsidRDefault="00C21911" w:rsidP="00E74287">
            <w:pPr>
              <w:autoSpaceDE w:val="0"/>
              <w:autoSpaceDN w:val="0"/>
              <w:adjustRightInd w:val="0"/>
              <w:spacing w:after="0" w:line="240" w:lineRule="auto"/>
              <w:jc w:val="both"/>
            </w:pPr>
            <w:r>
              <w:t>29/03/2022</w:t>
            </w:r>
          </w:p>
        </w:tc>
        <w:tc>
          <w:tcPr>
            <w:tcW w:w="4889" w:type="dxa"/>
          </w:tcPr>
          <w:p w:rsidR="00BE625A" w:rsidRPr="001733FE" w:rsidRDefault="00C21911" w:rsidP="00C21911">
            <w:pPr>
              <w:spacing w:after="0" w:line="240" w:lineRule="auto"/>
              <w:jc w:val="both"/>
            </w:pPr>
            <w:r w:rsidRPr="00C21911">
              <w:t>Proseguimento valutazione grado di raggiungimento risultati 2021</w:t>
            </w:r>
          </w:p>
        </w:tc>
      </w:tr>
      <w:tr w:rsidR="00BE625A" w:rsidRPr="001733FE" w:rsidTr="00E74287">
        <w:tc>
          <w:tcPr>
            <w:tcW w:w="4889" w:type="dxa"/>
          </w:tcPr>
          <w:p w:rsidR="00BE625A" w:rsidRPr="001733FE" w:rsidRDefault="00C21911" w:rsidP="00E74287">
            <w:pPr>
              <w:autoSpaceDE w:val="0"/>
              <w:autoSpaceDN w:val="0"/>
              <w:adjustRightInd w:val="0"/>
              <w:spacing w:after="0" w:line="240" w:lineRule="auto"/>
              <w:jc w:val="both"/>
            </w:pPr>
            <w:r>
              <w:t>12/05/2022</w:t>
            </w:r>
          </w:p>
        </w:tc>
        <w:tc>
          <w:tcPr>
            <w:tcW w:w="4889" w:type="dxa"/>
          </w:tcPr>
          <w:p w:rsidR="001813C0" w:rsidRPr="001813C0" w:rsidRDefault="00C21911" w:rsidP="00C21911">
            <w:pPr>
              <w:autoSpaceDE w:val="0"/>
              <w:autoSpaceDN w:val="0"/>
              <w:adjustRightInd w:val="0"/>
              <w:spacing w:after="0" w:line="240" w:lineRule="auto"/>
            </w:pPr>
            <w:r>
              <w:t>Validazione della Relazione annuale sulla Performance 2021</w:t>
            </w:r>
          </w:p>
          <w:p w:rsidR="00BE625A" w:rsidRPr="001733FE" w:rsidRDefault="00BE625A" w:rsidP="00E74287">
            <w:pPr>
              <w:autoSpaceDE w:val="0"/>
              <w:autoSpaceDN w:val="0"/>
              <w:adjustRightInd w:val="0"/>
              <w:spacing w:after="0" w:line="240" w:lineRule="auto"/>
              <w:jc w:val="both"/>
            </w:pPr>
          </w:p>
        </w:tc>
      </w:tr>
      <w:tr w:rsidR="00E06108" w:rsidRPr="001733FE" w:rsidTr="00E74287">
        <w:tc>
          <w:tcPr>
            <w:tcW w:w="4889" w:type="dxa"/>
          </w:tcPr>
          <w:p w:rsidR="00E06108" w:rsidRDefault="00E06108" w:rsidP="00324941">
            <w:pPr>
              <w:autoSpaceDE w:val="0"/>
              <w:autoSpaceDN w:val="0"/>
              <w:adjustRightInd w:val="0"/>
              <w:spacing w:after="0" w:line="240" w:lineRule="auto"/>
              <w:jc w:val="both"/>
            </w:pPr>
            <w:r>
              <w:t>14/06/2022</w:t>
            </w:r>
          </w:p>
        </w:tc>
        <w:tc>
          <w:tcPr>
            <w:tcW w:w="4889" w:type="dxa"/>
          </w:tcPr>
          <w:p w:rsidR="00E06108" w:rsidRPr="00D90FCE" w:rsidRDefault="00E06108" w:rsidP="00324941">
            <w:pPr>
              <w:autoSpaceDE w:val="0"/>
              <w:autoSpaceDN w:val="0"/>
              <w:adjustRightInd w:val="0"/>
              <w:spacing w:after="0" w:line="240" w:lineRule="auto"/>
            </w:pPr>
            <w:r>
              <w:t xml:space="preserve">Attestazione </w:t>
            </w:r>
            <w:r w:rsidRPr="00D90FCE">
              <w:t xml:space="preserve"> assolvimento degli obblighi di trasparenza </w:t>
            </w:r>
          </w:p>
        </w:tc>
      </w:tr>
      <w:tr w:rsidR="00E06108" w:rsidRPr="001733FE" w:rsidTr="00E74287">
        <w:tc>
          <w:tcPr>
            <w:tcW w:w="4889" w:type="dxa"/>
          </w:tcPr>
          <w:p w:rsidR="00E06108" w:rsidRDefault="00E06108" w:rsidP="00E74287">
            <w:pPr>
              <w:autoSpaceDE w:val="0"/>
              <w:autoSpaceDN w:val="0"/>
              <w:adjustRightInd w:val="0"/>
              <w:spacing w:after="0" w:line="240" w:lineRule="auto"/>
              <w:jc w:val="both"/>
            </w:pPr>
            <w:r>
              <w:t>29/06/2022</w:t>
            </w:r>
          </w:p>
        </w:tc>
        <w:tc>
          <w:tcPr>
            <w:tcW w:w="4889" w:type="dxa"/>
          </w:tcPr>
          <w:p w:rsidR="00E06108" w:rsidRPr="005039E3" w:rsidRDefault="00E06108" w:rsidP="00377A6F">
            <w:pPr>
              <w:autoSpaceDE w:val="0"/>
              <w:autoSpaceDN w:val="0"/>
              <w:adjustRightInd w:val="0"/>
              <w:spacing w:after="0" w:line="240" w:lineRule="auto"/>
            </w:pPr>
            <w:r>
              <w:t>V</w:t>
            </w:r>
            <w:r w:rsidRPr="000748D7">
              <w:t xml:space="preserve">alutazione performance individuale dei dirigenti anno </w:t>
            </w:r>
            <w:r w:rsidR="00377A6F">
              <w:t>2021</w:t>
            </w:r>
          </w:p>
        </w:tc>
      </w:tr>
      <w:tr w:rsidR="00E06108" w:rsidRPr="001733FE" w:rsidTr="00E74287">
        <w:tc>
          <w:tcPr>
            <w:tcW w:w="4889" w:type="dxa"/>
          </w:tcPr>
          <w:p w:rsidR="00E06108" w:rsidRDefault="00E06108" w:rsidP="00D90FCE">
            <w:pPr>
              <w:autoSpaceDE w:val="0"/>
              <w:autoSpaceDN w:val="0"/>
              <w:adjustRightInd w:val="0"/>
              <w:spacing w:after="0" w:line="240" w:lineRule="auto"/>
            </w:pPr>
            <w:r>
              <w:t>29/11/2022</w:t>
            </w:r>
          </w:p>
        </w:tc>
        <w:tc>
          <w:tcPr>
            <w:tcW w:w="4889" w:type="dxa"/>
          </w:tcPr>
          <w:p w:rsidR="00E06108" w:rsidRPr="00D90FCE" w:rsidRDefault="00E06108" w:rsidP="00C21911">
            <w:pPr>
              <w:autoSpaceDE w:val="0"/>
              <w:autoSpaceDN w:val="0"/>
              <w:adjustRightInd w:val="0"/>
              <w:spacing w:after="0" w:line="240" w:lineRule="auto"/>
              <w:jc w:val="both"/>
            </w:pPr>
            <w:r>
              <w:t xml:space="preserve">Parere obbligatorio sulle integrazioni al </w:t>
            </w:r>
            <w:r w:rsidRPr="00D90FCE">
              <w:t>Codice di Comportamento dell’Ente</w:t>
            </w:r>
          </w:p>
        </w:tc>
      </w:tr>
    </w:tbl>
    <w:p w:rsidR="00BE625A" w:rsidRDefault="00BE625A" w:rsidP="00BE625A">
      <w:pPr>
        <w:autoSpaceDE w:val="0"/>
        <w:autoSpaceDN w:val="0"/>
        <w:adjustRightInd w:val="0"/>
        <w:spacing w:after="0" w:line="240" w:lineRule="auto"/>
      </w:pPr>
    </w:p>
    <w:p w:rsidR="001733FE" w:rsidRDefault="001733FE" w:rsidP="00BE625A">
      <w:pPr>
        <w:autoSpaceDE w:val="0"/>
        <w:autoSpaceDN w:val="0"/>
        <w:adjustRightInd w:val="0"/>
        <w:spacing w:after="0" w:line="240" w:lineRule="auto"/>
      </w:pPr>
    </w:p>
    <w:p w:rsidR="001733FE" w:rsidRDefault="001733FE" w:rsidP="00BE625A">
      <w:pPr>
        <w:autoSpaceDE w:val="0"/>
        <w:autoSpaceDN w:val="0"/>
        <w:adjustRightInd w:val="0"/>
        <w:spacing w:after="0" w:line="240" w:lineRule="auto"/>
      </w:pPr>
    </w:p>
    <w:p w:rsidR="001733FE" w:rsidRPr="001733FE" w:rsidRDefault="001733FE" w:rsidP="00BE625A">
      <w:pPr>
        <w:autoSpaceDE w:val="0"/>
        <w:autoSpaceDN w:val="0"/>
        <w:adjustRightInd w:val="0"/>
        <w:spacing w:after="0" w:line="240" w:lineRule="auto"/>
      </w:pPr>
    </w:p>
    <w:p w:rsidR="00BE625A" w:rsidRPr="001733FE" w:rsidRDefault="0081791E" w:rsidP="008250AC">
      <w:pPr>
        <w:autoSpaceDE w:val="0"/>
        <w:autoSpaceDN w:val="0"/>
        <w:adjustRightInd w:val="0"/>
        <w:spacing w:after="0" w:line="240" w:lineRule="auto"/>
        <w:jc w:val="both"/>
        <w:rPr>
          <w:b/>
          <w:bCs/>
          <w:lang w:eastAsia="it-IT"/>
        </w:rPr>
      </w:pPr>
      <w:r>
        <w:rPr>
          <w:b/>
          <w:bCs/>
          <w:lang w:eastAsia="it-IT"/>
        </w:rPr>
        <w:t>6._ PROSPETTIVE DI SVILUPPO ED IMPLEMENTAZIONE DEL SISTEMA DELLA PERFORMANCE</w:t>
      </w:r>
    </w:p>
    <w:p w:rsidR="00962990" w:rsidRPr="00BA2E90" w:rsidRDefault="00962990" w:rsidP="00BA2E90">
      <w:pPr>
        <w:spacing w:after="0" w:line="240" w:lineRule="auto"/>
        <w:ind w:left="180"/>
        <w:jc w:val="both"/>
      </w:pPr>
    </w:p>
    <w:p w:rsidR="00BA2E90" w:rsidRPr="00CE2BAF" w:rsidRDefault="00C434CF" w:rsidP="00CE2BAF">
      <w:pPr>
        <w:autoSpaceDE w:val="0"/>
        <w:autoSpaceDN w:val="0"/>
        <w:adjustRightInd w:val="0"/>
        <w:spacing w:after="0" w:line="240" w:lineRule="auto"/>
        <w:jc w:val="both"/>
      </w:pPr>
      <w:r w:rsidRPr="00CE2BAF">
        <w:t xml:space="preserve">Le risultanze della relazione sulla performance </w:t>
      </w:r>
      <w:r w:rsidR="00E06108" w:rsidRPr="00CE2BAF">
        <w:t>per l’esercizio 2022</w:t>
      </w:r>
      <w:r w:rsidRPr="00CE2BAF">
        <w:t xml:space="preserve"> testimoniano </w:t>
      </w:r>
      <w:r w:rsidR="00BA2E90" w:rsidRPr="00CE2BAF">
        <w:t>la necessità</w:t>
      </w:r>
      <w:r w:rsidRPr="00CE2BAF">
        <w:t xml:space="preserve"> </w:t>
      </w:r>
      <w:r w:rsidR="00BA2E90" w:rsidRPr="00CE2BAF">
        <w:t>di</w:t>
      </w:r>
      <w:r w:rsidR="00D90FCE" w:rsidRPr="00CE2BAF">
        <w:t xml:space="preserve"> </w:t>
      </w:r>
      <w:r w:rsidR="00BA2E90" w:rsidRPr="00CE2BAF">
        <w:t>una revisione</w:t>
      </w:r>
      <w:r w:rsidR="00D90FCE" w:rsidRPr="00CE2BAF">
        <w:t xml:space="preserve"> complessiv</w:t>
      </w:r>
      <w:r w:rsidR="00BA2E90" w:rsidRPr="00CE2BAF">
        <w:t>a della programmazione, privilegiando obiettivi e indicatori sfidanti , in termini di individuazione del valore generato (efficacia) e/o del risparmio delle risorse impiegate (efficienza), al fine di rendere la programmazione uno strumento flessibile, finalizzato a soddisfare i bisogni del territorio e ad allocare le risorse in modo ottimale.</w:t>
      </w:r>
    </w:p>
    <w:p w:rsidR="00CE2BAF" w:rsidRDefault="00CE2BAF" w:rsidP="00CE2BAF">
      <w:pPr>
        <w:autoSpaceDE w:val="0"/>
        <w:autoSpaceDN w:val="0"/>
        <w:adjustRightInd w:val="0"/>
        <w:spacing w:after="0" w:line="240" w:lineRule="auto"/>
        <w:jc w:val="both"/>
      </w:pPr>
    </w:p>
    <w:p w:rsidR="00CE2BAF" w:rsidRPr="00CE2BAF" w:rsidRDefault="00CE2BAF" w:rsidP="00CE2BAF">
      <w:pPr>
        <w:autoSpaceDE w:val="0"/>
        <w:autoSpaceDN w:val="0"/>
        <w:adjustRightInd w:val="0"/>
        <w:spacing w:after="0" w:line="240" w:lineRule="auto"/>
        <w:jc w:val="both"/>
      </w:pPr>
      <w:r w:rsidRPr="00CE2BAF">
        <w:t xml:space="preserve">Nella prima stesura del PIAO 2022-2024 della Città metropolitana di Venezia si è ritenuto opportuno identificare la creazione di valore pubblico con la realizzazione degli obiettivi strategici </w:t>
      </w:r>
    </w:p>
    <w:p w:rsidR="00CE2BAF" w:rsidRPr="00CE2BAF" w:rsidRDefault="00CE2BAF" w:rsidP="00CE2BAF">
      <w:pPr>
        <w:autoSpaceDE w:val="0"/>
        <w:autoSpaceDN w:val="0"/>
        <w:adjustRightInd w:val="0"/>
        <w:spacing w:after="0" w:line="240" w:lineRule="auto"/>
        <w:jc w:val="both"/>
      </w:pPr>
      <w:r w:rsidRPr="00CE2BAF">
        <w:t>La misurazione del valore pubblico, inteso come insieme equilibrato degli impatti prodotti dalle politiche dell’Ente sul livello finale di benessere economico, sociale, ambientale dei cittadini dovrà avvenire anche attraverso specifici indicatori di BES (e simili), previsti nel PIAO 2022 – 2024, i cui effetti potranno essere valutati solo in un’ottica di lungo periodo, verificando l’insieme dei cambiamenti, diretti o indiretti, generati sul territorio e sulle persone, e derivanti dalle attività svolte.</w:t>
      </w:r>
    </w:p>
    <w:p w:rsidR="00CE2BAF" w:rsidRDefault="00CE2BAF" w:rsidP="00CE2BAF">
      <w:pPr>
        <w:autoSpaceDE w:val="0"/>
        <w:autoSpaceDN w:val="0"/>
        <w:adjustRightInd w:val="0"/>
        <w:spacing w:after="0" w:line="240" w:lineRule="auto"/>
        <w:jc w:val="both"/>
      </w:pPr>
    </w:p>
    <w:p w:rsidR="00BA2E90" w:rsidRPr="00CE2BAF" w:rsidRDefault="00BA2E90" w:rsidP="00CE2BAF">
      <w:pPr>
        <w:autoSpaceDE w:val="0"/>
        <w:autoSpaceDN w:val="0"/>
        <w:adjustRightInd w:val="0"/>
        <w:spacing w:after="0" w:line="240" w:lineRule="auto"/>
        <w:jc w:val="both"/>
      </w:pPr>
    </w:p>
    <w:p w:rsidR="00CE2BAF" w:rsidRPr="00CE2BAF" w:rsidRDefault="00CE2BAF" w:rsidP="00CE2BAF">
      <w:pPr>
        <w:autoSpaceDE w:val="0"/>
        <w:autoSpaceDN w:val="0"/>
        <w:adjustRightInd w:val="0"/>
        <w:spacing w:after="0" w:line="240" w:lineRule="auto"/>
        <w:jc w:val="both"/>
      </w:pPr>
      <w:r w:rsidRPr="00CE2BAF">
        <w:lastRenderedPageBreak/>
        <w:t>Per la Sezione Organizzazione e capitale umano il monitoraggio della coerenza degli obiettivi di performance con le risorse umane e il miglioramento dei risultati sarà effettuato su base triennale dal Nucleo di valutazione, come previsto dall’art. 5 del Regolamento recante la definizione del contenuto del Piano integrato di attività e organizzazione, approvato con decreto del Dipartimento Funzione pubblica n. 132 del 30 giugno 2022.</w:t>
      </w:r>
    </w:p>
    <w:p w:rsidR="00CE2BAF" w:rsidRPr="00CE2BAF" w:rsidRDefault="00CE2BAF" w:rsidP="00CE2BAF">
      <w:pPr>
        <w:autoSpaceDE w:val="0"/>
        <w:autoSpaceDN w:val="0"/>
        <w:adjustRightInd w:val="0"/>
        <w:spacing w:after="0" w:line="240" w:lineRule="auto"/>
        <w:jc w:val="both"/>
      </w:pPr>
      <w:r w:rsidRPr="00CE2BAF">
        <w:t xml:space="preserve">Tale sezione, pur essendo compiutamente descritta, sarà perfezionata nel PIAO dei prossimi esercizi, con l’approfondimento dello stretto collegamento con la sezione Valore Pubblico e Performance. </w:t>
      </w:r>
    </w:p>
    <w:p w:rsidR="00BA2E90" w:rsidRPr="00BA2E90" w:rsidRDefault="00BA2E90" w:rsidP="00BA2E90">
      <w:pPr>
        <w:spacing w:after="0" w:line="240" w:lineRule="auto"/>
        <w:ind w:left="180"/>
        <w:jc w:val="both"/>
      </w:pPr>
    </w:p>
    <w:p w:rsidR="00962990" w:rsidRPr="001733FE" w:rsidRDefault="00962990" w:rsidP="008250AC">
      <w:pPr>
        <w:autoSpaceDE w:val="0"/>
        <w:autoSpaceDN w:val="0"/>
        <w:adjustRightInd w:val="0"/>
        <w:spacing w:after="0" w:line="240" w:lineRule="auto"/>
        <w:jc w:val="both"/>
        <w:rPr>
          <w:b/>
          <w:bCs/>
          <w:lang w:eastAsia="it-IT"/>
        </w:rPr>
      </w:pPr>
    </w:p>
    <w:sectPr w:rsidR="00962990" w:rsidRPr="001733FE" w:rsidSect="00E54894">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26D8" w:rsidRDefault="008E26D8" w:rsidP="00210242">
      <w:pPr>
        <w:spacing w:after="0" w:line="240" w:lineRule="auto"/>
      </w:pPr>
      <w:r>
        <w:separator/>
      </w:r>
    </w:p>
  </w:endnote>
  <w:endnote w:type="continuationSeparator" w:id="0">
    <w:p w:rsidR="008E26D8" w:rsidRDefault="008E26D8" w:rsidP="002102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1"/>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Gothic,Italic-OneByteIde">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w:panose1 w:val="00000400000000000000"/>
    <w:charset w:val="01"/>
    <w:family w:val="roman"/>
    <w:notTrueType/>
    <w:pitch w:val="variable"/>
    <w:sig w:usb0="00002000" w:usb1="00000000" w:usb2="00000000" w:usb3="00000000" w:csb0="00000000" w:csb1="00000000"/>
  </w:font>
  <w:font w:name="Arabic Typesetting">
    <w:altName w:val="Courier New"/>
    <w:charset w:val="00"/>
    <w:family w:val="script"/>
    <w:pitch w:val="variable"/>
    <w:sig w:usb0="A000206F" w:usb1="C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CenturyGothic-OneByteIdentityH">
    <w:altName w:val="Yu Gothic UI"/>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26D8" w:rsidRDefault="008E26D8" w:rsidP="00210242">
      <w:pPr>
        <w:spacing w:after="0" w:line="240" w:lineRule="auto"/>
      </w:pPr>
      <w:r>
        <w:separator/>
      </w:r>
    </w:p>
  </w:footnote>
  <w:footnote w:type="continuationSeparator" w:id="0">
    <w:p w:rsidR="008E26D8" w:rsidRDefault="008E26D8" w:rsidP="0021024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B6B21"/>
    <w:multiLevelType w:val="multilevel"/>
    <w:tmpl w:val="9F065002"/>
    <w:lvl w:ilvl="0">
      <w:start w:val="1"/>
      <w:numFmt w:val="bullet"/>
      <w:lvlText w:val="o"/>
      <w:lvlJc w:val="left"/>
      <w:pPr>
        <w:ind w:left="720" w:hanging="360"/>
      </w:pPr>
      <w:rPr>
        <w:rFonts w:ascii="Courier New" w:hAnsi="Courier New" w:cs="Courier New" w:hint="default"/>
        <w:b w:val="0"/>
        <w:position w:val="0"/>
        <w:sz w:val="20"/>
        <w:szCs w:val="20"/>
        <w:vertAlign w:val="baseline"/>
      </w:rPr>
    </w:lvl>
    <w:lvl w:ilvl="1">
      <w:start w:val="1"/>
      <w:numFmt w:val="bullet"/>
      <w:lvlText w:val=""/>
      <w:lvlJc w:val="left"/>
      <w:pPr>
        <w:ind w:left="0" w:firstLine="0"/>
      </w:pPr>
      <w:rPr>
        <w:rFonts w:ascii="Noto Sans Symbols" w:hAnsi="Noto Sans Symbols" w:cs="Noto Sans Symbols" w:hint="default"/>
      </w:rPr>
    </w:lvl>
    <w:lvl w:ilvl="2">
      <w:start w:val="1"/>
      <w:numFmt w:val="bullet"/>
      <w:lvlText w:val=""/>
      <w:lvlJc w:val="left"/>
      <w:pPr>
        <w:ind w:left="0" w:firstLine="0"/>
      </w:pPr>
      <w:rPr>
        <w:rFonts w:ascii="Noto Sans Symbols" w:hAnsi="Noto Sans Symbols" w:cs="Noto Sans Symbols" w:hint="default"/>
      </w:rPr>
    </w:lvl>
    <w:lvl w:ilvl="3">
      <w:start w:val="1"/>
      <w:numFmt w:val="bullet"/>
      <w:lvlText w:val=""/>
      <w:lvlJc w:val="left"/>
      <w:pPr>
        <w:ind w:left="0" w:firstLine="0"/>
      </w:pPr>
      <w:rPr>
        <w:rFonts w:ascii="Noto Sans Symbols" w:hAnsi="Noto Sans Symbols" w:cs="Noto Sans Symbols" w:hint="default"/>
      </w:rPr>
    </w:lvl>
    <w:lvl w:ilvl="4">
      <w:start w:val="1"/>
      <w:numFmt w:val="bullet"/>
      <w:lvlText w:val=""/>
      <w:lvlJc w:val="left"/>
      <w:pPr>
        <w:ind w:left="0" w:firstLine="0"/>
      </w:pPr>
      <w:rPr>
        <w:rFonts w:ascii="Noto Sans Symbols" w:hAnsi="Noto Sans Symbols" w:cs="Noto Sans Symbols" w:hint="default"/>
      </w:rPr>
    </w:lvl>
    <w:lvl w:ilvl="5">
      <w:start w:val="1"/>
      <w:numFmt w:val="bullet"/>
      <w:lvlText w:val=""/>
      <w:lvlJc w:val="left"/>
      <w:pPr>
        <w:ind w:left="0" w:firstLine="0"/>
      </w:pPr>
      <w:rPr>
        <w:rFonts w:ascii="Noto Sans Symbols" w:hAnsi="Noto Sans Symbols" w:cs="Noto Sans Symbols" w:hint="default"/>
      </w:rPr>
    </w:lvl>
    <w:lvl w:ilvl="6">
      <w:start w:val="1"/>
      <w:numFmt w:val="bullet"/>
      <w:lvlText w:val=""/>
      <w:lvlJc w:val="left"/>
      <w:pPr>
        <w:ind w:left="0" w:firstLine="0"/>
      </w:pPr>
      <w:rPr>
        <w:rFonts w:ascii="Noto Sans Symbols" w:hAnsi="Noto Sans Symbols" w:cs="Noto Sans Symbols" w:hint="default"/>
      </w:rPr>
    </w:lvl>
    <w:lvl w:ilvl="7">
      <w:start w:val="1"/>
      <w:numFmt w:val="bullet"/>
      <w:lvlText w:val=""/>
      <w:lvlJc w:val="left"/>
      <w:pPr>
        <w:ind w:left="0" w:firstLine="0"/>
      </w:pPr>
      <w:rPr>
        <w:rFonts w:ascii="Noto Sans Symbols" w:hAnsi="Noto Sans Symbols" w:cs="Noto Sans Symbols" w:hint="default"/>
      </w:rPr>
    </w:lvl>
    <w:lvl w:ilvl="8">
      <w:start w:val="1"/>
      <w:numFmt w:val="bullet"/>
      <w:lvlText w:val=""/>
      <w:lvlJc w:val="left"/>
      <w:pPr>
        <w:ind w:left="0" w:firstLine="0"/>
      </w:pPr>
      <w:rPr>
        <w:rFonts w:ascii="Noto Sans Symbols" w:hAnsi="Noto Sans Symbols" w:cs="Noto Sans Symbols" w:hint="default"/>
      </w:rPr>
    </w:lvl>
  </w:abstractNum>
  <w:abstractNum w:abstractNumId="1">
    <w:nsid w:val="0B206E44"/>
    <w:multiLevelType w:val="hybridMultilevel"/>
    <w:tmpl w:val="6F5C8718"/>
    <w:lvl w:ilvl="0" w:tplc="20DAB3C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nsid w:val="0ECD02E7"/>
    <w:multiLevelType w:val="hybridMultilevel"/>
    <w:tmpl w:val="922C4EC4"/>
    <w:lvl w:ilvl="0" w:tplc="0410000F">
      <w:start w:val="1"/>
      <w:numFmt w:val="decimal"/>
      <w:lvlText w:val="%1."/>
      <w:lvlJc w:val="left"/>
      <w:pPr>
        <w:ind w:left="1080" w:hanging="360"/>
      </w:pPr>
      <w:rPr>
        <w:rFonts w:hint="default"/>
      </w:rPr>
    </w:lvl>
    <w:lvl w:ilvl="1" w:tplc="4F4697F2">
      <w:start w:val="1"/>
      <w:numFmt w:val="decimal"/>
      <w:lvlText w:val="%2-"/>
      <w:lvlJc w:val="left"/>
      <w:pPr>
        <w:tabs>
          <w:tab w:val="num" w:pos="1800"/>
        </w:tabs>
        <w:ind w:left="1800" w:hanging="360"/>
      </w:pPr>
      <w:rPr>
        <w:rFonts w:hint="default"/>
      </w:r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nsid w:val="26280EE8"/>
    <w:multiLevelType w:val="hybridMultilevel"/>
    <w:tmpl w:val="F75C4902"/>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4">
    <w:nsid w:val="2797076E"/>
    <w:multiLevelType w:val="hybridMultilevel"/>
    <w:tmpl w:val="F224D278"/>
    <w:lvl w:ilvl="0" w:tplc="E5C2E93C">
      <w:start w:val="1"/>
      <w:numFmt w:val="bullet"/>
      <w:lvlText w:val=""/>
      <w:lvlJc w:val="left"/>
      <w:pPr>
        <w:ind w:left="540" w:hanging="360"/>
      </w:pPr>
      <w:rPr>
        <w:rFonts w:ascii="Symbol" w:hAnsi="Symbol" w:hint="default"/>
        <w:color w:val="auto"/>
      </w:rPr>
    </w:lvl>
    <w:lvl w:ilvl="1" w:tplc="002006BA">
      <w:start w:val="1"/>
      <w:numFmt w:val="bullet"/>
      <w:lvlText w:val=""/>
      <w:lvlJc w:val="left"/>
      <w:pPr>
        <w:ind w:left="1260" w:hanging="360"/>
      </w:pPr>
      <w:rPr>
        <w:rFonts w:ascii="Symbol" w:hAnsi="Symbol" w:hint="default"/>
      </w:rPr>
    </w:lvl>
    <w:lvl w:ilvl="2" w:tplc="04100005">
      <w:start w:val="1"/>
      <w:numFmt w:val="bullet"/>
      <w:lvlText w:val=""/>
      <w:lvlJc w:val="left"/>
      <w:pPr>
        <w:ind w:left="1980" w:hanging="360"/>
      </w:pPr>
      <w:rPr>
        <w:rFonts w:ascii="Wingdings" w:hAnsi="Wingdings" w:hint="default"/>
      </w:r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
    <w:nsid w:val="46434258"/>
    <w:multiLevelType w:val="hybridMultilevel"/>
    <w:tmpl w:val="F676B2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48D5479B"/>
    <w:multiLevelType w:val="hybridMultilevel"/>
    <w:tmpl w:val="40488094"/>
    <w:lvl w:ilvl="0" w:tplc="04100019">
      <w:start w:val="1"/>
      <w:numFmt w:val="lowerLetter"/>
      <w:lvlText w:val="%1."/>
      <w:lvlJc w:val="left"/>
      <w:pPr>
        <w:ind w:left="900" w:hanging="360"/>
      </w:pPr>
    </w:lvl>
    <w:lvl w:ilvl="1" w:tplc="0410000D">
      <w:start w:val="1"/>
      <w:numFmt w:val="bullet"/>
      <w:lvlText w:val=""/>
      <w:lvlJc w:val="left"/>
      <w:pPr>
        <w:ind w:left="1620" w:hanging="360"/>
      </w:pPr>
      <w:rPr>
        <w:rFonts w:ascii="Wingdings" w:hAnsi="Wingdings" w:hint="default"/>
      </w:rPr>
    </w:lvl>
    <w:lvl w:ilvl="2" w:tplc="04100005">
      <w:start w:val="1"/>
      <w:numFmt w:val="bullet"/>
      <w:lvlText w:val=""/>
      <w:lvlJc w:val="left"/>
      <w:pPr>
        <w:ind w:left="2340" w:hanging="360"/>
      </w:pPr>
      <w:rPr>
        <w:rFonts w:ascii="Wingdings" w:hAnsi="Wingdings" w:hint="default"/>
      </w:rPr>
    </w:lvl>
    <w:lvl w:ilvl="3" w:tplc="04100001">
      <w:start w:val="1"/>
      <w:numFmt w:val="decimal"/>
      <w:lvlText w:val="%4."/>
      <w:lvlJc w:val="left"/>
      <w:pPr>
        <w:tabs>
          <w:tab w:val="num" w:pos="3240"/>
        </w:tabs>
        <w:ind w:left="3240" w:hanging="360"/>
      </w:pPr>
    </w:lvl>
    <w:lvl w:ilvl="4" w:tplc="04100003">
      <w:start w:val="1"/>
      <w:numFmt w:val="decimal"/>
      <w:lvlText w:val="%5."/>
      <w:lvlJc w:val="left"/>
      <w:pPr>
        <w:tabs>
          <w:tab w:val="num" w:pos="3960"/>
        </w:tabs>
        <w:ind w:left="3960" w:hanging="360"/>
      </w:pPr>
    </w:lvl>
    <w:lvl w:ilvl="5" w:tplc="04100005">
      <w:start w:val="1"/>
      <w:numFmt w:val="decimal"/>
      <w:lvlText w:val="%6."/>
      <w:lvlJc w:val="left"/>
      <w:pPr>
        <w:tabs>
          <w:tab w:val="num" w:pos="4680"/>
        </w:tabs>
        <w:ind w:left="4680" w:hanging="360"/>
      </w:pPr>
    </w:lvl>
    <w:lvl w:ilvl="6" w:tplc="04100001">
      <w:start w:val="1"/>
      <w:numFmt w:val="decimal"/>
      <w:lvlText w:val="%7."/>
      <w:lvlJc w:val="left"/>
      <w:pPr>
        <w:tabs>
          <w:tab w:val="num" w:pos="5400"/>
        </w:tabs>
        <w:ind w:left="5400" w:hanging="360"/>
      </w:pPr>
    </w:lvl>
    <w:lvl w:ilvl="7" w:tplc="04100003">
      <w:start w:val="1"/>
      <w:numFmt w:val="decimal"/>
      <w:lvlText w:val="%8."/>
      <w:lvlJc w:val="left"/>
      <w:pPr>
        <w:tabs>
          <w:tab w:val="num" w:pos="6120"/>
        </w:tabs>
        <w:ind w:left="6120" w:hanging="360"/>
      </w:pPr>
    </w:lvl>
    <w:lvl w:ilvl="8" w:tplc="04100005">
      <w:start w:val="1"/>
      <w:numFmt w:val="decimal"/>
      <w:lvlText w:val="%9."/>
      <w:lvlJc w:val="left"/>
      <w:pPr>
        <w:tabs>
          <w:tab w:val="num" w:pos="6840"/>
        </w:tabs>
        <w:ind w:left="6840" w:hanging="360"/>
      </w:pPr>
    </w:lvl>
  </w:abstractNum>
  <w:abstractNum w:abstractNumId="7">
    <w:nsid w:val="49C84B31"/>
    <w:multiLevelType w:val="hybridMultilevel"/>
    <w:tmpl w:val="F62EEB54"/>
    <w:lvl w:ilvl="0" w:tplc="0E786DB4">
      <w:start w:val="2"/>
      <w:numFmt w:val="bullet"/>
      <w:lvlText w:val="-"/>
      <w:lvlJc w:val="left"/>
      <w:pPr>
        <w:ind w:left="720" w:hanging="360"/>
      </w:pPr>
      <w:rPr>
        <w:rFonts w:ascii="CenturyGothic,Italic-OneByteIde" w:eastAsia="Calibri" w:hAnsi="CenturyGothic,Italic-OneByteIde" w:cs="CenturyGothic,Italic-OneByteId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ECE7899"/>
    <w:multiLevelType w:val="hybridMultilevel"/>
    <w:tmpl w:val="610EDF68"/>
    <w:lvl w:ilvl="0" w:tplc="6BD8DE2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55D93EAF"/>
    <w:multiLevelType w:val="hybridMultilevel"/>
    <w:tmpl w:val="9B6C0956"/>
    <w:lvl w:ilvl="0" w:tplc="B9EAC89C">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58FF09A4"/>
    <w:multiLevelType w:val="hybridMultilevel"/>
    <w:tmpl w:val="F5A0948A"/>
    <w:lvl w:ilvl="0" w:tplc="2B3288C2">
      <w:numFmt w:val="bullet"/>
      <w:lvlText w:val="-"/>
      <w:lvlJc w:val="left"/>
      <w:pPr>
        <w:ind w:left="1068" w:hanging="360"/>
      </w:pPr>
      <w:rPr>
        <w:rFonts w:ascii="Calibri" w:eastAsia="Times New Roman" w:hAnsi="Calibri"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
    <w:nsid w:val="7B1C4131"/>
    <w:multiLevelType w:val="hybridMultilevel"/>
    <w:tmpl w:val="3C0624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num>
  <w:num w:numId="2">
    <w:abstractNumId w:val="5"/>
  </w:num>
  <w:num w:numId="3">
    <w:abstractNumId w:val="9"/>
  </w:num>
  <w:num w:numId="4">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num>
  <w:num w:numId="10">
    <w:abstractNumId w:val="1"/>
  </w:num>
  <w:num w:numId="11">
    <w:abstractNumId w:val="11"/>
  </w:num>
  <w:num w:numId="12">
    <w:abstractNumId w:val="0"/>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oNotTrackMoves/>
  <w:doNotTrackFormatting/>
  <w:defaultTabStop w:val="708"/>
  <w:hyphenationZone w:val="283"/>
  <w:characterSpacingControl w:val="doNotCompress"/>
  <w:footnotePr>
    <w:footnote w:id="-1"/>
    <w:footnote w:id="0"/>
  </w:footnotePr>
  <w:endnotePr>
    <w:endnote w:id="-1"/>
    <w:endnote w:id="0"/>
  </w:endnotePr>
  <w:compat/>
  <w:rsids>
    <w:rsidRoot w:val="00E45B84"/>
    <w:rsid w:val="000030D4"/>
    <w:rsid w:val="00003322"/>
    <w:rsid w:val="0000769E"/>
    <w:rsid w:val="0001130C"/>
    <w:rsid w:val="00013487"/>
    <w:rsid w:val="00013D65"/>
    <w:rsid w:val="0001437C"/>
    <w:rsid w:val="00015ECC"/>
    <w:rsid w:val="0001645C"/>
    <w:rsid w:val="00017AC5"/>
    <w:rsid w:val="00017BC4"/>
    <w:rsid w:val="00027D52"/>
    <w:rsid w:val="00027DFC"/>
    <w:rsid w:val="00035027"/>
    <w:rsid w:val="00041595"/>
    <w:rsid w:val="0004271C"/>
    <w:rsid w:val="00045B8E"/>
    <w:rsid w:val="00051C9B"/>
    <w:rsid w:val="00052213"/>
    <w:rsid w:val="00055B16"/>
    <w:rsid w:val="00056CB2"/>
    <w:rsid w:val="000623F8"/>
    <w:rsid w:val="0006270B"/>
    <w:rsid w:val="000637CD"/>
    <w:rsid w:val="000662DD"/>
    <w:rsid w:val="0006640D"/>
    <w:rsid w:val="00066CC0"/>
    <w:rsid w:val="000745FE"/>
    <w:rsid w:val="000748D7"/>
    <w:rsid w:val="00076552"/>
    <w:rsid w:val="0008033F"/>
    <w:rsid w:val="00082573"/>
    <w:rsid w:val="000833C5"/>
    <w:rsid w:val="00091C6E"/>
    <w:rsid w:val="00092089"/>
    <w:rsid w:val="00092419"/>
    <w:rsid w:val="00092C22"/>
    <w:rsid w:val="00096743"/>
    <w:rsid w:val="000A0065"/>
    <w:rsid w:val="000A10E9"/>
    <w:rsid w:val="000A7E2F"/>
    <w:rsid w:val="000B0D66"/>
    <w:rsid w:val="000B1609"/>
    <w:rsid w:val="000B2582"/>
    <w:rsid w:val="000B7F17"/>
    <w:rsid w:val="000C2487"/>
    <w:rsid w:val="000C32BA"/>
    <w:rsid w:val="000C6A30"/>
    <w:rsid w:val="000D250D"/>
    <w:rsid w:val="000D28DF"/>
    <w:rsid w:val="000D324F"/>
    <w:rsid w:val="000D676D"/>
    <w:rsid w:val="000D6F21"/>
    <w:rsid w:val="000E584D"/>
    <w:rsid w:val="000E6096"/>
    <w:rsid w:val="000F1816"/>
    <w:rsid w:val="000F23BE"/>
    <w:rsid w:val="000F7887"/>
    <w:rsid w:val="000F7DCF"/>
    <w:rsid w:val="00104A85"/>
    <w:rsid w:val="00104BA3"/>
    <w:rsid w:val="00105BDE"/>
    <w:rsid w:val="00106585"/>
    <w:rsid w:val="00111A8D"/>
    <w:rsid w:val="001137C4"/>
    <w:rsid w:val="00113BD0"/>
    <w:rsid w:val="00120947"/>
    <w:rsid w:val="00122802"/>
    <w:rsid w:val="00131162"/>
    <w:rsid w:val="0013159B"/>
    <w:rsid w:val="001347E2"/>
    <w:rsid w:val="001405B1"/>
    <w:rsid w:val="00140C17"/>
    <w:rsid w:val="00141092"/>
    <w:rsid w:val="00142925"/>
    <w:rsid w:val="001435CC"/>
    <w:rsid w:val="00145C64"/>
    <w:rsid w:val="0014639D"/>
    <w:rsid w:val="00147105"/>
    <w:rsid w:val="00147F05"/>
    <w:rsid w:val="001520DB"/>
    <w:rsid w:val="001523AE"/>
    <w:rsid w:val="00153CE2"/>
    <w:rsid w:val="001567D8"/>
    <w:rsid w:val="00161149"/>
    <w:rsid w:val="00162040"/>
    <w:rsid w:val="00164631"/>
    <w:rsid w:val="001652A5"/>
    <w:rsid w:val="00167FBC"/>
    <w:rsid w:val="00170E14"/>
    <w:rsid w:val="00172F5E"/>
    <w:rsid w:val="001733FE"/>
    <w:rsid w:val="00176F9C"/>
    <w:rsid w:val="00180878"/>
    <w:rsid w:val="001813C0"/>
    <w:rsid w:val="00186E1D"/>
    <w:rsid w:val="0019613B"/>
    <w:rsid w:val="001A4483"/>
    <w:rsid w:val="001A6D1E"/>
    <w:rsid w:val="001A7D7D"/>
    <w:rsid w:val="001B045F"/>
    <w:rsid w:val="001B1FB7"/>
    <w:rsid w:val="001B43C2"/>
    <w:rsid w:val="001B5022"/>
    <w:rsid w:val="001C0807"/>
    <w:rsid w:val="001C3B68"/>
    <w:rsid w:val="001C5116"/>
    <w:rsid w:val="001C5E41"/>
    <w:rsid w:val="001C62B2"/>
    <w:rsid w:val="001C6CCF"/>
    <w:rsid w:val="001C7596"/>
    <w:rsid w:val="001D010D"/>
    <w:rsid w:val="001D0238"/>
    <w:rsid w:val="001D0EB3"/>
    <w:rsid w:val="001D65F2"/>
    <w:rsid w:val="001E1B3C"/>
    <w:rsid w:val="001E54F3"/>
    <w:rsid w:val="001E6852"/>
    <w:rsid w:val="001F1085"/>
    <w:rsid w:val="001F3F86"/>
    <w:rsid w:val="001F50AD"/>
    <w:rsid w:val="001F5960"/>
    <w:rsid w:val="001F6ECD"/>
    <w:rsid w:val="001F7B39"/>
    <w:rsid w:val="002011D0"/>
    <w:rsid w:val="00202D39"/>
    <w:rsid w:val="002050D0"/>
    <w:rsid w:val="00205DCB"/>
    <w:rsid w:val="00207575"/>
    <w:rsid w:val="00210242"/>
    <w:rsid w:val="0021460B"/>
    <w:rsid w:val="00215EE0"/>
    <w:rsid w:val="00233068"/>
    <w:rsid w:val="002339DC"/>
    <w:rsid w:val="00243DA4"/>
    <w:rsid w:val="00251918"/>
    <w:rsid w:val="00252236"/>
    <w:rsid w:val="002546E9"/>
    <w:rsid w:val="00254C0B"/>
    <w:rsid w:val="002572EE"/>
    <w:rsid w:val="002573E5"/>
    <w:rsid w:val="0026023A"/>
    <w:rsid w:val="002703FA"/>
    <w:rsid w:val="00272114"/>
    <w:rsid w:val="00277D84"/>
    <w:rsid w:val="00283127"/>
    <w:rsid w:val="0028483C"/>
    <w:rsid w:val="00290D4F"/>
    <w:rsid w:val="00293BFC"/>
    <w:rsid w:val="0029644F"/>
    <w:rsid w:val="002972EF"/>
    <w:rsid w:val="002A08CF"/>
    <w:rsid w:val="002A1EBA"/>
    <w:rsid w:val="002A3457"/>
    <w:rsid w:val="002A41FA"/>
    <w:rsid w:val="002A4290"/>
    <w:rsid w:val="002A5A47"/>
    <w:rsid w:val="002A5B0E"/>
    <w:rsid w:val="002A6B28"/>
    <w:rsid w:val="002A6E78"/>
    <w:rsid w:val="002B0405"/>
    <w:rsid w:val="002B15D7"/>
    <w:rsid w:val="002B175B"/>
    <w:rsid w:val="002B34CB"/>
    <w:rsid w:val="002B3DB5"/>
    <w:rsid w:val="002B4568"/>
    <w:rsid w:val="002B4E27"/>
    <w:rsid w:val="002B4E4C"/>
    <w:rsid w:val="002B6C8D"/>
    <w:rsid w:val="002C23DB"/>
    <w:rsid w:val="002C4444"/>
    <w:rsid w:val="002C4D4A"/>
    <w:rsid w:val="002C5959"/>
    <w:rsid w:val="002C73AD"/>
    <w:rsid w:val="002C7C97"/>
    <w:rsid w:val="002D56E6"/>
    <w:rsid w:val="002E3C33"/>
    <w:rsid w:val="002E3C4C"/>
    <w:rsid w:val="002E4454"/>
    <w:rsid w:val="002E455F"/>
    <w:rsid w:val="00301330"/>
    <w:rsid w:val="0030612A"/>
    <w:rsid w:val="0031527D"/>
    <w:rsid w:val="00317B46"/>
    <w:rsid w:val="00321E9E"/>
    <w:rsid w:val="00322AC3"/>
    <w:rsid w:val="00323DC7"/>
    <w:rsid w:val="003310C2"/>
    <w:rsid w:val="003329CE"/>
    <w:rsid w:val="003355D8"/>
    <w:rsid w:val="0034507A"/>
    <w:rsid w:val="0034711E"/>
    <w:rsid w:val="00350C39"/>
    <w:rsid w:val="00352A95"/>
    <w:rsid w:val="00352B36"/>
    <w:rsid w:val="003536CE"/>
    <w:rsid w:val="00354965"/>
    <w:rsid w:val="00355538"/>
    <w:rsid w:val="00356E29"/>
    <w:rsid w:val="00360409"/>
    <w:rsid w:val="00360A41"/>
    <w:rsid w:val="00362199"/>
    <w:rsid w:val="003633FE"/>
    <w:rsid w:val="003647F4"/>
    <w:rsid w:val="003661F7"/>
    <w:rsid w:val="00372132"/>
    <w:rsid w:val="003764A1"/>
    <w:rsid w:val="00377A6F"/>
    <w:rsid w:val="00383D4C"/>
    <w:rsid w:val="00383F23"/>
    <w:rsid w:val="00386A09"/>
    <w:rsid w:val="0039041A"/>
    <w:rsid w:val="003940AB"/>
    <w:rsid w:val="00395F37"/>
    <w:rsid w:val="003979E8"/>
    <w:rsid w:val="00397D3D"/>
    <w:rsid w:val="003A0E6E"/>
    <w:rsid w:val="003A340B"/>
    <w:rsid w:val="003B0A2D"/>
    <w:rsid w:val="003B325B"/>
    <w:rsid w:val="003C5DA5"/>
    <w:rsid w:val="003C7432"/>
    <w:rsid w:val="003C7846"/>
    <w:rsid w:val="003D03F4"/>
    <w:rsid w:val="003D0B04"/>
    <w:rsid w:val="003D200D"/>
    <w:rsid w:val="003D2DD3"/>
    <w:rsid w:val="003D57DA"/>
    <w:rsid w:val="003E1F2C"/>
    <w:rsid w:val="003F12A1"/>
    <w:rsid w:val="003F1A0C"/>
    <w:rsid w:val="003F1F5B"/>
    <w:rsid w:val="003F38E6"/>
    <w:rsid w:val="003F6CE2"/>
    <w:rsid w:val="003F6DD0"/>
    <w:rsid w:val="00401A10"/>
    <w:rsid w:val="00402E8B"/>
    <w:rsid w:val="00402FD9"/>
    <w:rsid w:val="0040400D"/>
    <w:rsid w:val="00406374"/>
    <w:rsid w:val="0041165B"/>
    <w:rsid w:val="00414A52"/>
    <w:rsid w:val="0041739F"/>
    <w:rsid w:val="0042110D"/>
    <w:rsid w:val="004245DB"/>
    <w:rsid w:val="00424F33"/>
    <w:rsid w:val="0043257D"/>
    <w:rsid w:val="00432779"/>
    <w:rsid w:val="0043308A"/>
    <w:rsid w:val="00434006"/>
    <w:rsid w:val="00434EB0"/>
    <w:rsid w:val="004356BC"/>
    <w:rsid w:val="00441E0A"/>
    <w:rsid w:val="00445BE7"/>
    <w:rsid w:val="00447045"/>
    <w:rsid w:val="0045094B"/>
    <w:rsid w:val="00452BAF"/>
    <w:rsid w:val="00452BCC"/>
    <w:rsid w:val="00460323"/>
    <w:rsid w:val="004640A5"/>
    <w:rsid w:val="00465B0E"/>
    <w:rsid w:val="00472B98"/>
    <w:rsid w:val="00480347"/>
    <w:rsid w:val="00484215"/>
    <w:rsid w:val="00486B18"/>
    <w:rsid w:val="004872DD"/>
    <w:rsid w:val="00492A6E"/>
    <w:rsid w:val="00494283"/>
    <w:rsid w:val="004952B9"/>
    <w:rsid w:val="004A42B9"/>
    <w:rsid w:val="004A7E94"/>
    <w:rsid w:val="004B5FAE"/>
    <w:rsid w:val="004C479D"/>
    <w:rsid w:val="004C4B8C"/>
    <w:rsid w:val="004C5C7F"/>
    <w:rsid w:val="004C6B0B"/>
    <w:rsid w:val="004D0DCD"/>
    <w:rsid w:val="004D44DE"/>
    <w:rsid w:val="004D7A3A"/>
    <w:rsid w:val="004F092A"/>
    <w:rsid w:val="004F4B57"/>
    <w:rsid w:val="004F4E95"/>
    <w:rsid w:val="00501262"/>
    <w:rsid w:val="005039E3"/>
    <w:rsid w:val="00503C14"/>
    <w:rsid w:val="005044C1"/>
    <w:rsid w:val="00504F9E"/>
    <w:rsid w:val="005106B4"/>
    <w:rsid w:val="00517BFB"/>
    <w:rsid w:val="00522D57"/>
    <w:rsid w:val="00523F3F"/>
    <w:rsid w:val="00527489"/>
    <w:rsid w:val="005320EF"/>
    <w:rsid w:val="00533B25"/>
    <w:rsid w:val="005343D9"/>
    <w:rsid w:val="00535010"/>
    <w:rsid w:val="00551FD3"/>
    <w:rsid w:val="00553397"/>
    <w:rsid w:val="005542B3"/>
    <w:rsid w:val="00554EE2"/>
    <w:rsid w:val="00555698"/>
    <w:rsid w:val="005560EC"/>
    <w:rsid w:val="00560FC5"/>
    <w:rsid w:val="00563141"/>
    <w:rsid w:val="00563CE7"/>
    <w:rsid w:val="00563DE5"/>
    <w:rsid w:val="00564DCF"/>
    <w:rsid w:val="00565EFA"/>
    <w:rsid w:val="00566BC3"/>
    <w:rsid w:val="00570B4A"/>
    <w:rsid w:val="00571DC2"/>
    <w:rsid w:val="00573F3B"/>
    <w:rsid w:val="00574759"/>
    <w:rsid w:val="0057498E"/>
    <w:rsid w:val="00575D47"/>
    <w:rsid w:val="0058006E"/>
    <w:rsid w:val="005801E9"/>
    <w:rsid w:val="00581BEC"/>
    <w:rsid w:val="00584168"/>
    <w:rsid w:val="00592119"/>
    <w:rsid w:val="005923A8"/>
    <w:rsid w:val="00594D75"/>
    <w:rsid w:val="0059520C"/>
    <w:rsid w:val="00596272"/>
    <w:rsid w:val="005A06B3"/>
    <w:rsid w:val="005A0D1D"/>
    <w:rsid w:val="005A0E30"/>
    <w:rsid w:val="005A0EFE"/>
    <w:rsid w:val="005A426A"/>
    <w:rsid w:val="005A4976"/>
    <w:rsid w:val="005A4EF3"/>
    <w:rsid w:val="005A4F27"/>
    <w:rsid w:val="005A7768"/>
    <w:rsid w:val="005B1C91"/>
    <w:rsid w:val="005B304C"/>
    <w:rsid w:val="005B359F"/>
    <w:rsid w:val="005B40B6"/>
    <w:rsid w:val="005B5F99"/>
    <w:rsid w:val="005B7349"/>
    <w:rsid w:val="005C0B7D"/>
    <w:rsid w:val="005C309D"/>
    <w:rsid w:val="005C7568"/>
    <w:rsid w:val="005D0177"/>
    <w:rsid w:val="005D0B0B"/>
    <w:rsid w:val="005D2276"/>
    <w:rsid w:val="005D47C9"/>
    <w:rsid w:val="005D4C66"/>
    <w:rsid w:val="005D7877"/>
    <w:rsid w:val="005D7FEC"/>
    <w:rsid w:val="005E1F40"/>
    <w:rsid w:val="005E20E7"/>
    <w:rsid w:val="005E2E76"/>
    <w:rsid w:val="005E4940"/>
    <w:rsid w:val="005E49A7"/>
    <w:rsid w:val="005E537B"/>
    <w:rsid w:val="005E7973"/>
    <w:rsid w:val="005F1E65"/>
    <w:rsid w:val="005F5CC5"/>
    <w:rsid w:val="005F6F7A"/>
    <w:rsid w:val="00600083"/>
    <w:rsid w:val="00607105"/>
    <w:rsid w:val="00607A22"/>
    <w:rsid w:val="00612ED7"/>
    <w:rsid w:val="006162BC"/>
    <w:rsid w:val="0062145D"/>
    <w:rsid w:val="006232E5"/>
    <w:rsid w:val="00626534"/>
    <w:rsid w:val="006273D2"/>
    <w:rsid w:val="00630BCF"/>
    <w:rsid w:val="00632267"/>
    <w:rsid w:val="0063385F"/>
    <w:rsid w:val="00633AFA"/>
    <w:rsid w:val="006379B7"/>
    <w:rsid w:val="00637A78"/>
    <w:rsid w:val="00640F19"/>
    <w:rsid w:val="006410AF"/>
    <w:rsid w:val="006420CF"/>
    <w:rsid w:val="00642DF6"/>
    <w:rsid w:val="00645702"/>
    <w:rsid w:val="00646EBA"/>
    <w:rsid w:val="00652B9D"/>
    <w:rsid w:val="00656895"/>
    <w:rsid w:val="006736A9"/>
    <w:rsid w:val="00674931"/>
    <w:rsid w:val="006773BC"/>
    <w:rsid w:val="006800A4"/>
    <w:rsid w:val="0068249E"/>
    <w:rsid w:val="00682684"/>
    <w:rsid w:val="00682F3D"/>
    <w:rsid w:val="0068391B"/>
    <w:rsid w:val="00684487"/>
    <w:rsid w:val="00684D10"/>
    <w:rsid w:val="00687D32"/>
    <w:rsid w:val="006900C4"/>
    <w:rsid w:val="00690E4F"/>
    <w:rsid w:val="00691E10"/>
    <w:rsid w:val="0069260D"/>
    <w:rsid w:val="00694A00"/>
    <w:rsid w:val="0069513B"/>
    <w:rsid w:val="006952F6"/>
    <w:rsid w:val="00697214"/>
    <w:rsid w:val="006A3A77"/>
    <w:rsid w:val="006B1CD1"/>
    <w:rsid w:val="006B6C8D"/>
    <w:rsid w:val="006C184E"/>
    <w:rsid w:val="006C6A96"/>
    <w:rsid w:val="006C6D1F"/>
    <w:rsid w:val="006D2B60"/>
    <w:rsid w:val="006D57DC"/>
    <w:rsid w:val="006E1C6F"/>
    <w:rsid w:val="006E1E6A"/>
    <w:rsid w:val="006E3B45"/>
    <w:rsid w:val="006E43E2"/>
    <w:rsid w:val="006E5E88"/>
    <w:rsid w:val="006E6D51"/>
    <w:rsid w:val="006E7332"/>
    <w:rsid w:val="006F049A"/>
    <w:rsid w:val="006F0843"/>
    <w:rsid w:val="006F663B"/>
    <w:rsid w:val="006F6FA5"/>
    <w:rsid w:val="00703EE4"/>
    <w:rsid w:val="00706F23"/>
    <w:rsid w:val="007070E7"/>
    <w:rsid w:val="00711F69"/>
    <w:rsid w:val="00714290"/>
    <w:rsid w:val="007167C9"/>
    <w:rsid w:val="00722DD1"/>
    <w:rsid w:val="00724C26"/>
    <w:rsid w:val="00724CA3"/>
    <w:rsid w:val="00724F84"/>
    <w:rsid w:val="00725518"/>
    <w:rsid w:val="00731FB5"/>
    <w:rsid w:val="00737610"/>
    <w:rsid w:val="007427F2"/>
    <w:rsid w:val="007442B9"/>
    <w:rsid w:val="007519A7"/>
    <w:rsid w:val="00752BE6"/>
    <w:rsid w:val="00760EC4"/>
    <w:rsid w:val="00760FD1"/>
    <w:rsid w:val="00763783"/>
    <w:rsid w:val="00764778"/>
    <w:rsid w:val="007647A9"/>
    <w:rsid w:val="007658D4"/>
    <w:rsid w:val="00765EAC"/>
    <w:rsid w:val="00770AF6"/>
    <w:rsid w:val="00773A1E"/>
    <w:rsid w:val="007741C7"/>
    <w:rsid w:val="00774809"/>
    <w:rsid w:val="00774A0C"/>
    <w:rsid w:val="00780B2C"/>
    <w:rsid w:val="00781DF3"/>
    <w:rsid w:val="007822A3"/>
    <w:rsid w:val="007822ED"/>
    <w:rsid w:val="00782ACA"/>
    <w:rsid w:val="00783A3E"/>
    <w:rsid w:val="007846D9"/>
    <w:rsid w:val="00784D9D"/>
    <w:rsid w:val="00786696"/>
    <w:rsid w:val="00790175"/>
    <w:rsid w:val="00794A32"/>
    <w:rsid w:val="00795985"/>
    <w:rsid w:val="007A005E"/>
    <w:rsid w:val="007B0DEF"/>
    <w:rsid w:val="007B3691"/>
    <w:rsid w:val="007B3EC5"/>
    <w:rsid w:val="007B49B1"/>
    <w:rsid w:val="007C4AFF"/>
    <w:rsid w:val="007C586E"/>
    <w:rsid w:val="007C6806"/>
    <w:rsid w:val="007E04C9"/>
    <w:rsid w:val="007E13EE"/>
    <w:rsid w:val="007E223C"/>
    <w:rsid w:val="007E23AF"/>
    <w:rsid w:val="007E447E"/>
    <w:rsid w:val="007E6044"/>
    <w:rsid w:val="007F30F0"/>
    <w:rsid w:val="007F4C94"/>
    <w:rsid w:val="007F763D"/>
    <w:rsid w:val="007F7A10"/>
    <w:rsid w:val="00804B21"/>
    <w:rsid w:val="00807D9B"/>
    <w:rsid w:val="008126A5"/>
    <w:rsid w:val="0081791E"/>
    <w:rsid w:val="008250AC"/>
    <w:rsid w:val="008259A8"/>
    <w:rsid w:val="008279F3"/>
    <w:rsid w:val="00831B84"/>
    <w:rsid w:val="00836138"/>
    <w:rsid w:val="00837782"/>
    <w:rsid w:val="00840BF4"/>
    <w:rsid w:val="00840CE3"/>
    <w:rsid w:val="008417E3"/>
    <w:rsid w:val="0084384E"/>
    <w:rsid w:val="00847476"/>
    <w:rsid w:val="0085266A"/>
    <w:rsid w:val="00852788"/>
    <w:rsid w:val="008543FF"/>
    <w:rsid w:val="00857C43"/>
    <w:rsid w:val="008613FB"/>
    <w:rsid w:val="0086287B"/>
    <w:rsid w:val="00870219"/>
    <w:rsid w:val="0087693A"/>
    <w:rsid w:val="008769A6"/>
    <w:rsid w:val="00886689"/>
    <w:rsid w:val="00895A2C"/>
    <w:rsid w:val="00896966"/>
    <w:rsid w:val="00897007"/>
    <w:rsid w:val="00897812"/>
    <w:rsid w:val="008A1C3A"/>
    <w:rsid w:val="008A2077"/>
    <w:rsid w:val="008A2085"/>
    <w:rsid w:val="008A4F52"/>
    <w:rsid w:val="008A54AD"/>
    <w:rsid w:val="008A7528"/>
    <w:rsid w:val="008B5BBB"/>
    <w:rsid w:val="008B5E6A"/>
    <w:rsid w:val="008C0235"/>
    <w:rsid w:val="008C3A32"/>
    <w:rsid w:val="008C71B4"/>
    <w:rsid w:val="008D0088"/>
    <w:rsid w:val="008D27E2"/>
    <w:rsid w:val="008D4CE5"/>
    <w:rsid w:val="008D59C2"/>
    <w:rsid w:val="008E2226"/>
    <w:rsid w:val="008E2435"/>
    <w:rsid w:val="008E26D8"/>
    <w:rsid w:val="008E4BA2"/>
    <w:rsid w:val="008F112B"/>
    <w:rsid w:val="008F302C"/>
    <w:rsid w:val="008F3D84"/>
    <w:rsid w:val="008F6A6E"/>
    <w:rsid w:val="00901CD9"/>
    <w:rsid w:val="00913565"/>
    <w:rsid w:val="00913BA3"/>
    <w:rsid w:val="009176DD"/>
    <w:rsid w:val="00923371"/>
    <w:rsid w:val="0092395E"/>
    <w:rsid w:val="009273C9"/>
    <w:rsid w:val="00931693"/>
    <w:rsid w:val="00940FD8"/>
    <w:rsid w:val="00941178"/>
    <w:rsid w:val="00941A4E"/>
    <w:rsid w:val="009439DA"/>
    <w:rsid w:val="00945138"/>
    <w:rsid w:val="0094546A"/>
    <w:rsid w:val="009459F4"/>
    <w:rsid w:val="009508B5"/>
    <w:rsid w:val="00952099"/>
    <w:rsid w:val="009539C7"/>
    <w:rsid w:val="009541A1"/>
    <w:rsid w:val="00954949"/>
    <w:rsid w:val="00957772"/>
    <w:rsid w:val="009577B6"/>
    <w:rsid w:val="00957F15"/>
    <w:rsid w:val="00962990"/>
    <w:rsid w:val="00965596"/>
    <w:rsid w:val="009665F6"/>
    <w:rsid w:val="00966C9C"/>
    <w:rsid w:val="00971A5A"/>
    <w:rsid w:val="00973668"/>
    <w:rsid w:val="00975440"/>
    <w:rsid w:val="0097760C"/>
    <w:rsid w:val="00980D11"/>
    <w:rsid w:val="00980DCD"/>
    <w:rsid w:val="0099428E"/>
    <w:rsid w:val="009956F7"/>
    <w:rsid w:val="00995CD0"/>
    <w:rsid w:val="009A5047"/>
    <w:rsid w:val="009A54D3"/>
    <w:rsid w:val="009A59EA"/>
    <w:rsid w:val="009A66D4"/>
    <w:rsid w:val="009A743B"/>
    <w:rsid w:val="009B034E"/>
    <w:rsid w:val="009B1267"/>
    <w:rsid w:val="009B2874"/>
    <w:rsid w:val="009B3CFB"/>
    <w:rsid w:val="009B419D"/>
    <w:rsid w:val="009B54E1"/>
    <w:rsid w:val="009C1A20"/>
    <w:rsid w:val="009C40FD"/>
    <w:rsid w:val="009C4607"/>
    <w:rsid w:val="009C5520"/>
    <w:rsid w:val="009C5EFA"/>
    <w:rsid w:val="009C739C"/>
    <w:rsid w:val="009D0459"/>
    <w:rsid w:val="009D052F"/>
    <w:rsid w:val="009D0598"/>
    <w:rsid w:val="009D05D9"/>
    <w:rsid w:val="009D34C0"/>
    <w:rsid w:val="009D7BB2"/>
    <w:rsid w:val="009E1BC4"/>
    <w:rsid w:val="009E5988"/>
    <w:rsid w:val="009E6932"/>
    <w:rsid w:val="009F408B"/>
    <w:rsid w:val="00A10A4E"/>
    <w:rsid w:val="00A11026"/>
    <w:rsid w:val="00A157E1"/>
    <w:rsid w:val="00A16966"/>
    <w:rsid w:val="00A2216D"/>
    <w:rsid w:val="00A221DC"/>
    <w:rsid w:val="00A22720"/>
    <w:rsid w:val="00A2583E"/>
    <w:rsid w:val="00A26A07"/>
    <w:rsid w:val="00A27448"/>
    <w:rsid w:val="00A27A1C"/>
    <w:rsid w:val="00A329B1"/>
    <w:rsid w:val="00A35D96"/>
    <w:rsid w:val="00A407FC"/>
    <w:rsid w:val="00A40B55"/>
    <w:rsid w:val="00A40E7F"/>
    <w:rsid w:val="00A431C9"/>
    <w:rsid w:val="00A45042"/>
    <w:rsid w:val="00A45BBE"/>
    <w:rsid w:val="00A51853"/>
    <w:rsid w:val="00A5364F"/>
    <w:rsid w:val="00A555D3"/>
    <w:rsid w:val="00A5607D"/>
    <w:rsid w:val="00A60D1E"/>
    <w:rsid w:val="00A622A0"/>
    <w:rsid w:val="00A63385"/>
    <w:rsid w:val="00A65095"/>
    <w:rsid w:val="00A65C9B"/>
    <w:rsid w:val="00A679A9"/>
    <w:rsid w:val="00A73E85"/>
    <w:rsid w:val="00A773AC"/>
    <w:rsid w:val="00A80131"/>
    <w:rsid w:val="00A8072A"/>
    <w:rsid w:val="00A80E8A"/>
    <w:rsid w:val="00A82F89"/>
    <w:rsid w:val="00A8386F"/>
    <w:rsid w:val="00A8658F"/>
    <w:rsid w:val="00A868D7"/>
    <w:rsid w:val="00A87547"/>
    <w:rsid w:val="00A910E8"/>
    <w:rsid w:val="00A913FD"/>
    <w:rsid w:val="00A92AE6"/>
    <w:rsid w:val="00A94B72"/>
    <w:rsid w:val="00A972AE"/>
    <w:rsid w:val="00AA14A8"/>
    <w:rsid w:val="00AA3F84"/>
    <w:rsid w:val="00AA6826"/>
    <w:rsid w:val="00AB2807"/>
    <w:rsid w:val="00AB63FC"/>
    <w:rsid w:val="00AB6781"/>
    <w:rsid w:val="00AB7415"/>
    <w:rsid w:val="00AC0ACF"/>
    <w:rsid w:val="00AC2D43"/>
    <w:rsid w:val="00AC35E1"/>
    <w:rsid w:val="00AC4DBB"/>
    <w:rsid w:val="00AC676C"/>
    <w:rsid w:val="00AC6DB7"/>
    <w:rsid w:val="00AD1AE4"/>
    <w:rsid w:val="00AD4328"/>
    <w:rsid w:val="00AE16DE"/>
    <w:rsid w:val="00AE4560"/>
    <w:rsid w:val="00AE6B4D"/>
    <w:rsid w:val="00AF16FA"/>
    <w:rsid w:val="00AF4788"/>
    <w:rsid w:val="00B01A6F"/>
    <w:rsid w:val="00B01C1F"/>
    <w:rsid w:val="00B021D0"/>
    <w:rsid w:val="00B024AB"/>
    <w:rsid w:val="00B06D8C"/>
    <w:rsid w:val="00B12C92"/>
    <w:rsid w:val="00B13EC5"/>
    <w:rsid w:val="00B13F5E"/>
    <w:rsid w:val="00B20A95"/>
    <w:rsid w:val="00B20C47"/>
    <w:rsid w:val="00B210F0"/>
    <w:rsid w:val="00B23828"/>
    <w:rsid w:val="00B2705C"/>
    <w:rsid w:val="00B27CB5"/>
    <w:rsid w:val="00B3256F"/>
    <w:rsid w:val="00B32DE7"/>
    <w:rsid w:val="00B41DFF"/>
    <w:rsid w:val="00B43511"/>
    <w:rsid w:val="00B45409"/>
    <w:rsid w:val="00B50AF1"/>
    <w:rsid w:val="00B51988"/>
    <w:rsid w:val="00B54E84"/>
    <w:rsid w:val="00B6453E"/>
    <w:rsid w:val="00B67729"/>
    <w:rsid w:val="00B72591"/>
    <w:rsid w:val="00B727A9"/>
    <w:rsid w:val="00B7544D"/>
    <w:rsid w:val="00B77D3A"/>
    <w:rsid w:val="00B81B1E"/>
    <w:rsid w:val="00B856F2"/>
    <w:rsid w:val="00B9134E"/>
    <w:rsid w:val="00B91FB6"/>
    <w:rsid w:val="00BA2E90"/>
    <w:rsid w:val="00BA4217"/>
    <w:rsid w:val="00BA4C2F"/>
    <w:rsid w:val="00BA50F3"/>
    <w:rsid w:val="00BA6E21"/>
    <w:rsid w:val="00BA799A"/>
    <w:rsid w:val="00BB07FA"/>
    <w:rsid w:val="00BB1C08"/>
    <w:rsid w:val="00BB29C5"/>
    <w:rsid w:val="00BB3804"/>
    <w:rsid w:val="00BB3EB4"/>
    <w:rsid w:val="00BB666A"/>
    <w:rsid w:val="00BC2818"/>
    <w:rsid w:val="00BD0093"/>
    <w:rsid w:val="00BD19BC"/>
    <w:rsid w:val="00BD235D"/>
    <w:rsid w:val="00BD27B6"/>
    <w:rsid w:val="00BD4C67"/>
    <w:rsid w:val="00BD767D"/>
    <w:rsid w:val="00BD77AE"/>
    <w:rsid w:val="00BE24F0"/>
    <w:rsid w:val="00BE482C"/>
    <w:rsid w:val="00BE625A"/>
    <w:rsid w:val="00BE6F32"/>
    <w:rsid w:val="00BF0FF9"/>
    <w:rsid w:val="00BF35C8"/>
    <w:rsid w:val="00BF3E1C"/>
    <w:rsid w:val="00BF5FE6"/>
    <w:rsid w:val="00C0699C"/>
    <w:rsid w:val="00C10F0C"/>
    <w:rsid w:val="00C11607"/>
    <w:rsid w:val="00C17EDC"/>
    <w:rsid w:val="00C20784"/>
    <w:rsid w:val="00C21114"/>
    <w:rsid w:val="00C21911"/>
    <w:rsid w:val="00C2329A"/>
    <w:rsid w:val="00C2436C"/>
    <w:rsid w:val="00C25AA5"/>
    <w:rsid w:val="00C26166"/>
    <w:rsid w:val="00C2797A"/>
    <w:rsid w:val="00C32112"/>
    <w:rsid w:val="00C3409F"/>
    <w:rsid w:val="00C37941"/>
    <w:rsid w:val="00C434CF"/>
    <w:rsid w:val="00C528D6"/>
    <w:rsid w:val="00C5332D"/>
    <w:rsid w:val="00C57775"/>
    <w:rsid w:val="00C60A4F"/>
    <w:rsid w:val="00C65186"/>
    <w:rsid w:val="00C6742D"/>
    <w:rsid w:val="00C67912"/>
    <w:rsid w:val="00C67C40"/>
    <w:rsid w:val="00C7049D"/>
    <w:rsid w:val="00C70C33"/>
    <w:rsid w:val="00C72BCD"/>
    <w:rsid w:val="00C7452E"/>
    <w:rsid w:val="00C8393F"/>
    <w:rsid w:val="00C86B2B"/>
    <w:rsid w:val="00C970CA"/>
    <w:rsid w:val="00C9760F"/>
    <w:rsid w:val="00CA6C64"/>
    <w:rsid w:val="00CA7710"/>
    <w:rsid w:val="00CB04CF"/>
    <w:rsid w:val="00CB6D12"/>
    <w:rsid w:val="00CC0B41"/>
    <w:rsid w:val="00CC221B"/>
    <w:rsid w:val="00CC506A"/>
    <w:rsid w:val="00CC6248"/>
    <w:rsid w:val="00CD12FE"/>
    <w:rsid w:val="00CD322D"/>
    <w:rsid w:val="00CD4FC9"/>
    <w:rsid w:val="00CD7082"/>
    <w:rsid w:val="00CE1938"/>
    <w:rsid w:val="00CE2BAF"/>
    <w:rsid w:val="00CF083E"/>
    <w:rsid w:val="00CF1E67"/>
    <w:rsid w:val="00CF52C4"/>
    <w:rsid w:val="00CF5880"/>
    <w:rsid w:val="00D00034"/>
    <w:rsid w:val="00D01DA5"/>
    <w:rsid w:val="00D0559A"/>
    <w:rsid w:val="00D05F8B"/>
    <w:rsid w:val="00D13C77"/>
    <w:rsid w:val="00D14B23"/>
    <w:rsid w:val="00D1668E"/>
    <w:rsid w:val="00D21EC4"/>
    <w:rsid w:val="00D258D9"/>
    <w:rsid w:val="00D26373"/>
    <w:rsid w:val="00D269E4"/>
    <w:rsid w:val="00D35BE4"/>
    <w:rsid w:val="00D36504"/>
    <w:rsid w:val="00D4112E"/>
    <w:rsid w:val="00D431FE"/>
    <w:rsid w:val="00D432F9"/>
    <w:rsid w:val="00D44179"/>
    <w:rsid w:val="00D47BC2"/>
    <w:rsid w:val="00D5183F"/>
    <w:rsid w:val="00D60139"/>
    <w:rsid w:val="00D6089F"/>
    <w:rsid w:val="00D61AAB"/>
    <w:rsid w:val="00D61BA6"/>
    <w:rsid w:val="00D6207C"/>
    <w:rsid w:val="00D62D3D"/>
    <w:rsid w:val="00D70D72"/>
    <w:rsid w:val="00D71E84"/>
    <w:rsid w:val="00D722C6"/>
    <w:rsid w:val="00D7230D"/>
    <w:rsid w:val="00D72CBB"/>
    <w:rsid w:val="00D801CB"/>
    <w:rsid w:val="00D81E38"/>
    <w:rsid w:val="00D824F2"/>
    <w:rsid w:val="00D8521A"/>
    <w:rsid w:val="00D90FCE"/>
    <w:rsid w:val="00D92046"/>
    <w:rsid w:val="00D92EE0"/>
    <w:rsid w:val="00D937EB"/>
    <w:rsid w:val="00D96F0B"/>
    <w:rsid w:val="00D9739F"/>
    <w:rsid w:val="00DA0367"/>
    <w:rsid w:val="00DA08B0"/>
    <w:rsid w:val="00DA4C7D"/>
    <w:rsid w:val="00DB4FB2"/>
    <w:rsid w:val="00DB59F9"/>
    <w:rsid w:val="00DB6BC1"/>
    <w:rsid w:val="00DB75C7"/>
    <w:rsid w:val="00DC0D07"/>
    <w:rsid w:val="00DD24F7"/>
    <w:rsid w:val="00DD3A92"/>
    <w:rsid w:val="00DD4C37"/>
    <w:rsid w:val="00DD6F21"/>
    <w:rsid w:val="00DD7C04"/>
    <w:rsid w:val="00DE0AEC"/>
    <w:rsid w:val="00DE11BA"/>
    <w:rsid w:val="00DE31EC"/>
    <w:rsid w:val="00DE5D99"/>
    <w:rsid w:val="00DE7119"/>
    <w:rsid w:val="00DE7D79"/>
    <w:rsid w:val="00DF3D44"/>
    <w:rsid w:val="00E052B2"/>
    <w:rsid w:val="00E06108"/>
    <w:rsid w:val="00E121C2"/>
    <w:rsid w:val="00E1282B"/>
    <w:rsid w:val="00E161A1"/>
    <w:rsid w:val="00E17867"/>
    <w:rsid w:val="00E20883"/>
    <w:rsid w:val="00E217E9"/>
    <w:rsid w:val="00E23686"/>
    <w:rsid w:val="00E23767"/>
    <w:rsid w:val="00E2396E"/>
    <w:rsid w:val="00E2696D"/>
    <w:rsid w:val="00E26DD6"/>
    <w:rsid w:val="00E36B88"/>
    <w:rsid w:val="00E37821"/>
    <w:rsid w:val="00E401FB"/>
    <w:rsid w:val="00E45B84"/>
    <w:rsid w:val="00E46248"/>
    <w:rsid w:val="00E46FA7"/>
    <w:rsid w:val="00E502AB"/>
    <w:rsid w:val="00E54894"/>
    <w:rsid w:val="00E6035A"/>
    <w:rsid w:val="00E6307F"/>
    <w:rsid w:val="00E6628E"/>
    <w:rsid w:val="00E70913"/>
    <w:rsid w:val="00E70BA6"/>
    <w:rsid w:val="00E710A6"/>
    <w:rsid w:val="00E71F21"/>
    <w:rsid w:val="00E74287"/>
    <w:rsid w:val="00E7723E"/>
    <w:rsid w:val="00E77BF1"/>
    <w:rsid w:val="00E81F5C"/>
    <w:rsid w:val="00E83C49"/>
    <w:rsid w:val="00E84444"/>
    <w:rsid w:val="00E861CD"/>
    <w:rsid w:val="00E87349"/>
    <w:rsid w:val="00E91543"/>
    <w:rsid w:val="00E91E6F"/>
    <w:rsid w:val="00E933D4"/>
    <w:rsid w:val="00E95339"/>
    <w:rsid w:val="00EA2075"/>
    <w:rsid w:val="00EA6006"/>
    <w:rsid w:val="00EA7926"/>
    <w:rsid w:val="00EB01EF"/>
    <w:rsid w:val="00EB450F"/>
    <w:rsid w:val="00EB6C05"/>
    <w:rsid w:val="00EC225C"/>
    <w:rsid w:val="00ED78F4"/>
    <w:rsid w:val="00EE05C5"/>
    <w:rsid w:val="00EE0927"/>
    <w:rsid w:val="00EE6048"/>
    <w:rsid w:val="00EE780A"/>
    <w:rsid w:val="00EF1F05"/>
    <w:rsid w:val="00EF46D1"/>
    <w:rsid w:val="00EF5392"/>
    <w:rsid w:val="00EF5BA8"/>
    <w:rsid w:val="00EF5E52"/>
    <w:rsid w:val="00F0370C"/>
    <w:rsid w:val="00F10EE2"/>
    <w:rsid w:val="00F127E1"/>
    <w:rsid w:val="00F15DA9"/>
    <w:rsid w:val="00F164C9"/>
    <w:rsid w:val="00F22068"/>
    <w:rsid w:val="00F2291B"/>
    <w:rsid w:val="00F23456"/>
    <w:rsid w:val="00F26462"/>
    <w:rsid w:val="00F2687A"/>
    <w:rsid w:val="00F27C04"/>
    <w:rsid w:val="00F3432B"/>
    <w:rsid w:val="00F34682"/>
    <w:rsid w:val="00F35E68"/>
    <w:rsid w:val="00F36094"/>
    <w:rsid w:val="00F40D2E"/>
    <w:rsid w:val="00F45E4C"/>
    <w:rsid w:val="00F460E3"/>
    <w:rsid w:val="00F53AB9"/>
    <w:rsid w:val="00F54638"/>
    <w:rsid w:val="00F548FC"/>
    <w:rsid w:val="00F55604"/>
    <w:rsid w:val="00F656C2"/>
    <w:rsid w:val="00F67BC8"/>
    <w:rsid w:val="00F768CF"/>
    <w:rsid w:val="00F76D0B"/>
    <w:rsid w:val="00F92DFD"/>
    <w:rsid w:val="00FA024B"/>
    <w:rsid w:val="00FA1BC4"/>
    <w:rsid w:val="00FA512C"/>
    <w:rsid w:val="00FA6035"/>
    <w:rsid w:val="00FB21C3"/>
    <w:rsid w:val="00FB3E26"/>
    <w:rsid w:val="00FB4AC9"/>
    <w:rsid w:val="00FB4F8A"/>
    <w:rsid w:val="00FC0CEB"/>
    <w:rsid w:val="00FC40CE"/>
    <w:rsid w:val="00FC4DD7"/>
    <w:rsid w:val="00FC6D4D"/>
    <w:rsid w:val="00FC6F9D"/>
    <w:rsid w:val="00FD19B7"/>
    <w:rsid w:val="00FD3ACA"/>
    <w:rsid w:val="00FD55F6"/>
    <w:rsid w:val="00FD57B0"/>
    <w:rsid w:val="00FE14EF"/>
    <w:rsid w:val="00FE270A"/>
    <w:rsid w:val="00FE71F0"/>
    <w:rsid w:val="00FE7BAC"/>
    <w:rsid w:val="00FF0EE9"/>
    <w:rsid w:val="00FF3376"/>
    <w:rsid w:val="00FF402D"/>
    <w:rsid w:val="00FF71E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54894"/>
    <w:pPr>
      <w:spacing w:after="200" w:line="276" w:lineRule="auto"/>
    </w:pPr>
    <w:rPr>
      <w:sz w:val="22"/>
      <w:szCs w:val="22"/>
      <w:lang w:eastAsia="en-US"/>
    </w:rPr>
  </w:style>
  <w:style w:type="paragraph" w:styleId="Titolo1">
    <w:name w:val="heading 1"/>
    <w:basedOn w:val="Normale"/>
    <w:next w:val="Normale"/>
    <w:link w:val="Titolo1Carattere"/>
    <w:qFormat/>
    <w:rsid w:val="00210242"/>
    <w:pPr>
      <w:keepNext/>
      <w:spacing w:after="0" w:line="240" w:lineRule="auto"/>
      <w:outlineLvl w:val="0"/>
    </w:pPr>
    <w:rPr>
      <w:rFonts w:ascii="Times New Roman" w:eastAsia="Times New Roman" w:hAnsi="Times New Roman"/>
      <w:sz w:val="24"/>
      <w:szCs w:val="24"/>
      <w:u w:val="single"/>
      <w:lang w:eastAsia="it-IT"/>
    </w:rPr>
  </w:style>
  <w:style w:type="paragraph" w:styleId="Titolo2">
    <w:name w:val="heading 2"/>
    <w:basedOn w:val="Normale"/>
    <w:next w:val="Normale"/>
    <w:link w:val="Titolo2Carattere"/>
    <w:uiPriority w:val="9"/>
    <w:unhideWhenUsed/>
    <w:qFormat/>
    <w:rsid w:val="004B5FAE"/>
    <w:pPr>
      <w:keepNext/>
      <w:keepLines/>
      <w:spacing w:before="200" w:after="0"/>
      <w:outlineLvl w:val="1"/>
    </w:pPr>
    <w:rPr>
      <w:rFonts w:asciiTheme="majorHAnsi" w:eastAsiaTheme="majorEastAsia" w:hAnsiTheme="majorHAnsi" w:cstheme="majorBidi"/>
      <w:b/>
      <w:bCs/>
      <w:color w:val="DDDDDD" w:themeColor="accent1"/>
      <w:sz w:val="26"/>
      <w:szCs w:val="26"/>
    </w:rPr>
  </w:style>
  <w:style w:type="paragraph" w:styleId="Titolo3">
    <w:name w:val="heading 3"/>
    <w:basedOn w:val="Normale"/>
    <w:next w:val="Normale"/>
    <w:link w:val="Titolo3Carattere"/>
    <w:uiPriority w:val="9"/>
    <w:unhideWhenUsed/>
    <w:qFormat/>
    <w:rsid w:val="004B5FAE"/>
    <w:pPr>
      <w:keepNext/>
      <w:keepLines/>
      <w:spacing w:before="200" w:after="0"/>
      <w:outlineLvl w:val="2"/>
    </w:pPr>
    <w:rPr>
      <w:rFonts w:asciiTheme="majorHAnsi" w:eastAsiaTheme="majorEastAsia" w:hAnsiTheme="majorHAnsi" w:cstheme="majorBidi"/>
      <w:b/>
      <w:bCs/>
      <w:color w:val="DDDDDD" w:themeColor="accent1"/>
    </w:rPr>
  </w:style>
  <w:style w:type="paragraph" w:styleId="Titolo4">
    <w:name w:val="heading 4"/>
    <w:basedOn w:val="Normale"/>
    <w:next w:val="Normale"/>
    <w:link w:val="Titolo4Carattere"/>
    <w:uiPriority w:val="9"/>
    <w:unhideWhenUsed/>
    <w:qFormat/>
    <w:rsid w:val="004B5FAE"/>
    <w:pPr>
      <w:keepNext/>
      <w:keepLines/>
      <w:spacing w:before="200" w:after="0"/>
      <w:outlineLvl w:val="3"/>
    </w:pPr>
    <w:rPr>
      <w:rFonts w:asciiTheme="majorHAnsi" w:eastAsiaTheme="majorEastAsia" w:hAnsiTheme="majorHAnsi" w:cstheme="majorBidi"/>
      <w:b/>
      <w:bCs/>
      <w:i/>
      <w:iCs/>
      <w:color w:val="DDDDD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210242"/>
    <w:rPr>
      <w:rFonts w:ascii="Times New Roman" w:eastAsia="Times New Roman" w:hAnsi="Times New Roman"/>
      <w:sz w:val="24"/>
      <w:szCs w:val="24"/>
      <w:u w:val="single"/>
    </w:rPr>
  </w:style>
  <w:style w:type="table" w:styleId="Grigliatabella">
    <w:name w:val="Table Grid"/>
    <w:basedOn w:val="Tabellanormale"/>
    <w:uiPriority w:val="59"/>
    <w:rsid w:val="00857C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foelenco1">
    <w:name w:val="Paragrafo elenco1"/>
    <w:basedOn w:val="Normale"/>
    <w:rsid w:val="00523F3F"/>
    <w:pPr>
      <w:spacing w:after="0" w:line="240" w:lineRule="auto"/>
      <w:ind w:left="720"/>
      <w:contextualSpacing/>
    </w:pPr>
    <w:rPr>
      <w:rFonts w:ascii="Times New Roman" w:eastAsia="Times New Roman" w:hAnsi="Times New Roman"/>
      <w:sz w:val="20"/>
      <w:szCs w:val="20"/>
      <w:lang w:eastAsia="it-IT"/>
    </w:rPr>
  </w:style>
  <w:style w:type="paragraph" w:styleId="Paragrafoelenco">
    <w:name w:val="List Paragraph"/>
    <w:basedOn w:val="Normale"/>
    <w:uiPriority w:val="34"/>
    <w:qFormat/>
    <w:rsid w:val="005B1C91"/>
    <w:pPr>
      <w:spacing w:after="0" w:line="240" w:lineRule="auto"/>
      <w:ind w:left="708"/>
    </w:pPr>
    <w:rPr>
      <w:rFonts w:ascii="Times New Roman" w:eastAsia="Times New Roman" w:hAnsi="Times New Roman"/>
      <w:sz w:val="24"/>
      <w:szCs w:val="24"/>
      <w:lang w:eastAsia="it-IT"/>
    </w:rPr>
  </w:style>
  <w:style w:type="paragraph" w:customStyle="1" w:styleId="Default">
    <w:name w:val="Default"/>
    <w:rsid w:val="00D5183F"/>
    <w:pPr>
      <w:autoSpaceDE w:val="0"/>
      <w:autoSpaceDN w:val="0"/>
      <w:adjustRightInd w:val="0"/>
    </w:pPr>
    <w:rPr>
      <w:rFonts w:ascii="Times New Roman" w:hAnsi="Times New Roman"/>
      <w:color w:val="000000"/>
      <w:sz w:val="24"/>
      <w:szCs w:val="24"/>
    </w:rPr>
  </w:style>
  <w:style w:type="paragraph" w:styleId="NormaleWeb">
    <w:name w:val="Normal (Web)"/>
    <w:basedOn w:val="Normale"/>
    <w:uiPriority w:val="99"/>
    <w:unhideWhenUsed/>
    <w:rsid w:val="005A06B3"/>
    <w:pPr>
      <w:spacing w:before="100" w:beforeAutospacing="1" w:after="100" w:afterAutospacing="1" w:line="240" w:lineRule="auto"/>
    </w:pPr>
    <w:rPr>
      <w:rFonts w:ascii="Times New Roman" w:eastAsia="Times New Roman" w:hAnsi="Times New Roman"/>
      <w:sz w:val="24"/>
      <w:szCs w:val="24"/>
      <w:lang w:eastAsia="it-IT"/>
    </w:rPr>
  </w:style>
  <w:style w:type="character" w:styleId="Collegamentoipertestuale">
    <w:name w:val="Hyperlink"/>
    <w:uiPriority w:val="99"/>
    <w:unhideWhenUsed/>
    <w:rsid w:val="005A06B3"/>
    <w:rPr>
      <w:color w:val="0000FF"/>
      <w:u w:val="single"/>
    </w:rPr>
  </w:style>
  <w:style w:type="character" w:styleId="Enfasigrassetto">
    <w:name w:val="Strong"/>
    <w:uiPriority w:val="22"/>
    <w:qFormat/>
    <w:rsid w:val="005A06B3"/>
    <w:rPr>
      <w:b/>
      <w:bCs/>
    </w:rPr>
  </w:style>
  <w:style w:type="paragraph" w:styleId="Testofumetto">
    <w:name w:val="Balloon Text"/>
    <w:basedOn w:val="Normale"/>
    <w:link w:val="TestofumettoCarattere"/>
    <w:uiPriority w:val="99"/>
    <w:semiHidden/>
    <w:unhideWhenUsed/>
    <w:rsid w:val="0086287B"/>
    <w:pPr>
      <w:spacing w:after="0" w:line="240" w:lineRule="auto"/>
    </w:pPr>
    <w:rPr>
      <w:rFonts w:ascii="Segoe UI" w:hAnsi="Segoe UI"/>
      <w:sz w:val="18"/>
      <w:szCs w:val="18"/>
    </w:rPr>
  </w:style>
  <w:style w:type="character" w:customStyle="1" w:styleId="TestofumettoCarattere">
    <w:name w:val="Testo fumetto Carattere"/>
    <w:link w:val="Testofumetto"/>
    <w:uiPriority w:val="99"/>
    <w:semiHidden/>
    <w:rsid w:val="0086287B"/>
    <w:rPr>
      <w:rFonts w:ascii="Segoe UI" w:hAnsi="Segoe UI" w:cs="Segoe UI"/>
      <w:sz w:val="18"/>
      <w:szCs w:val="18"/>
      <w:lang w:eastAsia="en-US"/>
    </w:rPr>
  </w:style>
  <w:style w:type="paragraph" w:styleId="Intestazione">
    <w:name w:val="header"/>
    <w:basedOn w:val="Normale"/>
    <w:link w:val="IntestazioneCarattere"/>
    <w:semiHidden/>
    <w:rsid w:val="00210242"/>
    <w:pPr>
      <w:tabs>
        <w:tab w:val="center" w:pos="4153"/>
        <w:tab w:val="right" w:pos="8306"/>
      </w:tabs>
      <w:spacing w:after="0" w:line="240" w:lineRule="auto"/>
    </w:pPr>
    <w:rPr>
      <w:rFonts w:ascii="Times New Roman" w:eastAsia="Times New Roman" w:hAnsi="Times New Roman"/>
      <w:sz w:val="24"/>
      <w:szCs w:val="24"/>
    </w:rPr>
  </w:style>
  <w:style w:type="character" w:customStyle="1" w:styleId="IntestazioneCarattere">
    <w:name w:val="Intestazione Carattere"/>
    <w:basedOn w:val="Carpredefinitoparagrafo"/>
    <w:link w:val="Intestazione"/>
    <w:semiHidden/>
    <w:rsid w:val="00210242"/>
    <w:rPr>
      <w:rFonts w:ascii="Times New Roman" w:eastAsia="Times New Roman" w:hAnsi="Times New Roman"/>
      <w:sz w:val="24"/>
      <w:szCs w:val="24"/>
      <w:lang w:eastAsia="en-US"/>
    </w:rPr>
  </w:style>
  <w:style w:type="paragraph" w:styleId="Pidipagina">
    <w:name w:val="footer"/>
    <w:basedOn w:val="Normale"/>
    <w:link w:val="PidipaginaCarattere"/>
    <w:uiPriority w:val="99"/>
    <w:rsid w:val="00210242"/>
    <w:pPr>
      <w:tabs>
        <w:tab w:val="center" w:pos="4153"/>
        <w:tab w:val="right" w:pos="8306"/>
      </w:tabs>
      <w:spacing w:after="0" w:line="240" w:lineRule="auto"/>
    </w:pPr>
    <w:rPr>
      <w:rFonts w:ascii="Times New Roman" w:eastAsia="Times New Roman" w:hAnsi="Times New Roman"/>
      <w:sz w:val="24"/>
      <w:szCs w:val="24"/>
    </w:rPr>
  </w:style>
  <w:style w:type="character" w:customStyle="1" w:styleId="PidipaginaCarattere">
    <w:name w:val="Piè di pagina Carattere"/>
    <w:basedOn w:val="Carpredefinitoparagrafo"/>
    <w:link w:val="Pidipagina"/>
    <w:uiPriority w:val="99"/>
    <w:rsid w:val="00210242"/>
    <w:rPr>
      <w:rFonts w:ascii="Times New Roman" w:eastAsia="Times New Roman" w:hAnsi="Times New Roman"/>
      <w:sz w:val="24"/>
      <w:szCs w:val="24"/>
      <w:lang w:eastAsia="en-US"/>
    </w:rPr>
  </w:style>
  <w:style w:type="paragraph" w:styleId="Rientrocorpodeltesto">
    <w:name w:val="Body Text Indent"/>
    <w:basedOn w:val="Normale"/>
    <w:link w:val="RientrocorpodeltestoCarattere"/>
    <w:semiHidden/>
    <w:rsid w:val="00210242"/>
    <w:pPr>
      <w:spacing w:after="0" w:line="240" w:lineRule="auto"/>
      <w:ind w:left="567"/>
      <w:jc w:val="both"/>
    </w:pPr>
    <w:rPr>
      <w:rFonts w:ascii="Times New Roman" w:eastAsia="Times New Roman" w:hAnsi="Times New Roman"/>
      <w:b/>
      <w:szCs w:val="24"/>
    </w:rPr>
  </w:style>
  <w:style w:type="character" w:customStyle="1" w:styleId="RientrocorpodeltestoCarattere">
    <w:name w:val="Rientro corpo del testo Carattere"/>
    <w:basedOn w:val="Carpredefinitoparagrafo"/>
    <w:link w:val="Rientrocorpodeltesto"/>
    <w:semiHidden/>
    <w:rsid w:val="00210242"/>
    <w:rPr>
      <w:rFonts w:ascii="Times New Roman" w:eastAsia="Times New Roman" w:hAnsi="Times New Roman"/>
      <w:b/>
      <w:sz w:val="22"/>
      <w:szCs w:val="24"/>
      <w:lang w:eastAsia="en-US"/>
    </w:rPr>
  </w:style>
  <w:style w:type="paragraph" w:styleId="Corpodeltesto">
    <w:name w:val="Body Text"/>
    <w:basedOn w:val="Normale"/>
    <w:link w:val="CorpodeltestoCarattere"/>
    <w:semiHidden/>
    <w:rsid w:val="00210242"/>
    <w:pPr>
      <w:spacing w:after="0" w:line="240" w:lineRule="auto"/>
    </w:pPr>
    <w:rPr>
      <w:rFonts w:ascii="Times New Roman" w:eastAsia="Times New Roman" w:hAnsi="Times New Roman"/>
      <w:szCs w:val="24"/>
    </w:rPr>
  </w:style>
  <w:style w:type="character" w:customStyle="1" w:styleId="CorpodeltestoCarattere">
    <w:name w:val="Corpo del testo Carattere"/>
    <w:basedOn w:val="Carpredefinitoparagrafo"/>
    <w:link w:val="Corpodeltesto"/>
    <w:semiHidden/>
    <w:rsid w:val="00210242"/>
    <w:rPr>
      <w:rFonts w:ascii="Times New Roman" w:eastAsia="Times New Roman" w:hAnsi="Times New Roman"/>
      <w:sz w:val="22"/>
      <w:szCs w:val="24"/>
      <w:lang w:eastAsia="en-US"/>
    </w:rPr>
  </w:style>
  <w:style w:type="paragraph" w:styleId="Rientrocorpodeltesto2">
    <w:name w:val="Body Text Indent 2"/>
    <w:basedOn w:val="Normale"/>
    <w:link w:val="Rientrocorpodeltesto2Carattere"/>
    <w:semiHidden/>
    <w:rsid w:val="00210242"/>
    <w:pPr>
      <w:spacing w:after="0" w:line="240" w:lineRule="auto"/>
      <w:ind w:left="567"/>
      <w:jc w:val="both"/>
    </w:pPr>
    <w:rPr>
      <w:rFonts w:ascii="Times New Roman" w:eastAsia="Times New Roman" w:hAnsi="Times New Roman"/>
      <w:szCs w:val="24"/>
    </w:rPr>
  </w:style>
  <w:style w:type="character" w:customStyle="1" w:styleId="Rientrocorpodeltesto2Carattere">
    <w:name w:val="Rientro corpo del testo 2 Carattere"/>
    <w:basedOn w:val="Carpredefinitoparagrafo"/>
    <w:link w:val="Rientrocorpodeltesto2"/>
    <w:semiHidden/>
    <w:rsid w:val="00210242"/>
    <w:rPr>
      <w:rFonts w:ascii="Times New Roman" w:eastAsia="Times New Roman" w:hAnsi="Times New Roman"/>
      <w:sz w:val="22"/>
      <w:szCs w:val="24"/>
      <w:lang w:eastAsia="en-US"/>
    </w:rPr>
  </w:style>
  <w:style w:type="paragraph" w:styleId="Rientrocorpodeltesto3">
    <w:name w:val="Body Text Indent 3"/>
    <w:basedOn w:val="Normale"/>
    <w:link w:val="Rientrocorpodeltesto3Carattere"/>
    <w:semiHidden/>
    <w:rsid w:val="00210242"/>
    <w:pPr>
      <w:tabs>
        <w:tab w:val="left" w:pos="707"/>
      </w:tabs>
      <w:spacing w:after="0" w:line="240" w:lineRule="auto"/>
      <w:ind w:left="567" w:firstLine="142"/>
      <w:jc w:val="both"/>
    </w:pPr>
    <w:rPr>
      <w:rFonts w:ascii="Times New Roman" w:eastAsia="Times New Roman" w:hAnsi="Times New Roman"/>
      <w:szCs w:val="24"/>
    </w:rPr>
  </w:style>
  <w:style w:type="character" w:customStyle="1" w:styleId="Rientrocorpodeltesto3Carattere">
    <w:name w:val="Rientro corpo del testo 3 Carattere"/>
    <w:basedOn w:val="Carpredefinitoparagrafo"/>
    <w:link w:val="Rientrocorpodeltesto3"/>
    <w:semiHidden/>
    <w:rsid w:val="00210242"/>
    <w:rPr>
      <w:rFonts w:ascii="Times New Roman" w:eastAsia="Times New Roman" w:hAnsi="Times New Roman"/>
      <w:sz w:val="22"/>
      <w:szCs w:val="24"/>
      <w:lang w:eastAsia="en-US"/>
    </w:rPr>
  </w:style>
  <w:style w:type="paragraph" w:styleId="Testonotaapidipagina">
    <w:name w:val="footnote text"/>
    <w:basedOn w:val="Normale"/>
    <w:link w:val="TestonotaapidipaginaCarattere"/>
    <w:semiHidden/>
    <w:unhideWhenUsed/>
    <w:rsid w:val="00210242"/>
    <w:pPr>
      <w:spacing w:after="0" w:line="240" w:lineRule="auto"/>
    </w:pPr>
    <w:rPr>
      <w:rFonts w:ascii="Times New Roman" w:eastAsia="Times New Roman" w:hAnsi="Times New Roman"/>
      <w:sz w:val="20"/>
      <w:szCs w:val="20"/>
    </w:rPr>
  </w:style>
  <w:style w:type="character" w:customStyle="1" w:styleId="TestonotaapidipaginaCarattere">
    <w:name w:val="Testo nota a piè di pagina Carattere"/>
    <w:basedOn w:val="Carpredefinitoparagrafo"/>
    <w:link w:val="Testonotaapidipagina"/>
    <w:semiHidden/>
    <w:rsid w:val="00210242"/>
    <w:rPr>
      <w:rFonts w:ascii="Times New Roman" w:eastAsia="Times New Roman" w:hAnsi="Times New Roman"/>
      <w:lang w:eastAsia="en-US"/>
    </w:rPr>
  </w:style>
  <w:style w:type="character" w:styleId="Rimandonotaapidipagina">
    <w:name w:val="footnote reference"/>
    <w:basedOn w:val="Carpredefinitoparagrafo"/>
    <w:semiHidden/>
    <w:unhideWhenUsed/>
    <w:rsid w:val="00210242"/>
    <w:rPr>
      <w:vertAlign w:val="superscript"/>
    </w:rPr>
  </w:style>
  <w:style w:type="paragraph" w:styleId="Nessunaspaziatura">
    <w:name w:val="No Spacing"/>
    <w:uiPriority w:val="1"/>
    <w:qFormat/>
    <w:rsid w:val="004B5FAE"/>
    <w:rPr>
      <w:sz w:val="22"/>
      <w:szCs w:val="22"/>
      <w:lang w:eastAsia="en-US"/>
    </w:rPr>
  </w:style>
  <w:style w:type="character" w:customStyle="1" w:styleId="Titolo2Carattere">
    <w:name w:val="Titolo 2 Carattere"/>
    <w:basedOn w:val="Carpredefinitoparagrafo"/>
    <w:link w:val="Titolo2"/>
    <w:uiPriority w:val="9"/>
    <w:rsid w:val="004B5FAE"/>
    <w:rPr>
      <w:rFonts w:asciiTheme="majorHAnsi" w:eastAsiaTheme="majorEastAsia" w:hAnsiTheme="majorHAnsi" w:cstheme="majorBidi"/>
      <w:b/>
      <w:bCs/>
      <w:color w:val="DDDDDD" w:themeColor="accent1"/>
      <w:sz w:val="26"/>
      <w:szCs w:val="26"/>
      <w:lang w:eastAsia="en-US"/>
    </w:rPr>
  </w:style>
  <w:style w:type="character" w:customStyle="1" w:styleId="Titolo3Carattere">
    <w:name w:val="Titolo 3 Carattere"/>
    <w:basedOn w:val="Carpredefinitoparagrafo"/>
    <w:link w:val="Titolo3"/>
    <w:uiPriority w:val="9"/>
    <w:rsid w:val="004B5FAE"/>
    <w:rPr>
      <w:rFonts w:asciiTheme="majorHAnsi" w:eastAsiaTheme="majorEastAsia" w:hAnsiTheme="majorHAnsi" w:cstheme="majorBidi"/>
      <w:b/>
      <w:bCs/>
      <w:color w:val="DDDDDD" w:themeColor="accent1"/>
      <w:sz w:val="22"/>
      <w:szCs w:val="22"/>
      <w:lang w:eastAsia="en-US"/>
    </w:rPr>
  </w:style>
  <w:style w:type="character" w:customStyle="1" w:styleId="Titolo4Carattere">
    <w:name w:val="Titolo 4 Carattere"/>
    <w:basedOn w:val="Carpredefinitoparagrafo"/>
    <w:link w:val="Titolo4"/>
    <w:uiPriority w:val="9"/>
    <w:rsid w:val="004B5FAE"/>
    <w:rPr>
      <w:rFonts w:asciiTheme="majorHAnsi" w:eastAsiaTheme="majorEastAsia" w:hAnsiTheme="majorHAnsi" w:cstheme="majorBidi"/>
      <w:b/>
      <w:bCs/>
      <w:i/>
      <w:iCs/>
      <w:color w:val="DDDDDD" w:themeColor="accent1"/>
      <w:sz w:val="22"/>
      <w:szCs w:val="22"/>
      <w:lang w:eastAsia="en-US"/>
    </w:rPr>
  </w:style>
  <w:style w:type="paragraph" w:customStyle="1" w:styleId="LO-normal1">
    <w:name w:val="LO-normal1"/>
    <w:qFormat/>
    <w:rsid w:val="00013D65"/>
    <w:rPr>
      <w:rFonts w:ascii="Liberation Serif" w:eastAsia="SimSun" w:hAnsi="Liberation Serif" w:cs="Mangal"/>
      <w:lang w:eastAsia="zh-CN" w:bidi="hi-IN"/>
    </w:rPr>
  </w:style>
  <w:style w:type="character" w:styleId="Collegamentovisitato">
    <w:name w:val="FollowedHyperlink"/>
    <w:basedOn w:val="Carpredefinitoparagrafo"/>
    <w:uiPriority w:val="99"/>
    <w:semiHidden/>
    <w:unhideWhenUsed/>
    <w:rsid w:val="00BD77AE"/>
    <w:rPr>
      <w:color w:val="919191" w:themeColor="followedHyperlink"/>
      <w:u w:val="single"/>
    </w:rPr>
  </w:style>
</w:styles>
</file>

<file path=word/webSettings.xml><?xml version="1.0" encoding="utf-8"?>
<w:webSettings xmlns:r="http://schemas.openxmlformats.org/officeDocument/2006/relationships" xmlns:w="http://schemas.openxmlformats.org/wordprocessingml/2006/main">
  <w:divs>
    <w:div w:id="1103455258">
      <w:bodyDiv w:val="1"/>
      <w:marLeft w:val="0"/>
      <w:marRight w:val="0"/>
      <w:marTop w:val="0"/>
      <w:marBottom w:val="0"/>
      <w:divBdr>
        <w:top w:val="none" w:sz="0" w:space="0" w:color="auto"/>
        <w:left w:val="none" w:sz="0" w:space="0" w:color="auto"/>
        <w:bottom w:val="none" w:sz="0" w:space="0" w:color="auto"/>
        <w:right w:val="none" w:sz="0" w:space="0" w:color="auto"/>
      </w:divBdr>
    </w:div>
    <w:div w:id="114905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uovo.cittametropolitana.ve.it/amministrazione-trasparente/controlli-e-rilievi-amministrazione/organismi-indipendenti-valutazione-nuclei-valutazione-altri-organismi-funzioni-analoghe/attestazione-31-05-2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Utenti\silvia.perrotta\Desktop\RELAZIONE%202018%202021\2019\DA%20USARE%20-%20VALORI%20ASSOLUTI%20%20%20OK.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Utenti\silvia.perrotta\Desktop\RELAZIONE%202018%202021\2019\DA%20USARE%20-%20VALORI%20ASSOLUTI%20%20%20OK.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Utenti\silvia.perrotta\Desktop\RELAZIONE%202018%202021\2019\prospetti%20VALORI%20RELATIVI%20%20%20OK.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Utenti\silvia.perrotta\Desktop\RELAZIONE%202018%202021\2019\prospetti%20VALORI%20RELATIVI%20%20%20OK.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t-IT"/>
  <c:style val="26"/>
  <c:chart>
    <c:title>
      <c:tx>
        <c:rich>
          <a:bodyPr/>
          <a:lstStyle/>
          <a:p>
            <a:pPr>
              <a:defRPr/>
            </a:pPr>
            <a:r>
              <a:rPr lang="it-IT"/>
              <a:t>ANNO 2020/2022</a:t>
            </a:r>
          </a:p>
        </c:rich>
      </c:tx>
    </c:title>
    <c:plotArea>
      <c:layout/>
      <c:barChart>
        <c:barDir val="col"/>
        <c:grouping val="clustered"/>
        <c:ser>
          <c:idx val="0"/>
          <c:order val="0"/>
          <c:tx>
            <c:strRef>
              <c:f>'punteggi complessivi_2020'!$O$4</c:f>
              <c:strCache>
                <c:ptCount val="1"/>
                <c:pt idx="0">
                  <c:v>ANNO 2020</c:v>
                </c:pt>
              </c:strCache>
            </c:strRef>
          </c:tx>
          <c:cat>
            <c:multiLvlStrRef>
              <c:f>'punteggi complessivi_2020'!$Q$1:$U$3</c:f>
              <c:multiLvlStrCache>
                <c:ptCount val="5"/>
                <c:lvl>
                  <c:pt idx="1">
                    <c:v>non conforme</c:v>
                  </c:pt>
                  <c:pt idx="2">
                    <c:v>Migliorabile</c:v>
                  </c:pt>
                  <c:pt idx="3">
                    <c:v>Conforme</c:v>
                  </c:pt>
                  <c:pt idx="4">
                    <c:v>Eccellente</c:v>
                  </c:pt>
                </c:lvl>
                <c:lvl>
                  <c:pt idx="0">
                    <c:v>FASCE DI VALUTAZIONE</c:v>
                  </c:pt>
                </c:lvl>
              </c:multiLvlStrCache>
            </c:multiLvlStrRef>
          </c:cat>
          <c:val>
            <c:numRef>
              <c:f>'punteggi complessivi_2020'!$Q$4:$U$4</c:f>
              <c:numCache>
                <c:formatCode>General</c:formatCode>
                <c:ptCount val="5"/>
                <c:pt idx="0">
                  <c:v>0</c:v>
                </c:pt>
                <c:pt idx="2">
                  <c:v>3</c:v>
                </c:pt>
                <c:pt idx="3">
                  <c:v>259</c:v>
                </c:pt>
                <c:pt idx="4">
                  <c:v>38</c:v>
                </c:pt>
              </c:numCache>
            </c:numRef>
          </c:val>
        </c:ser>
        <c:ser>
          <c:idx val="1"/>
          <c:order val="1"/>
          <c:tx>
            <c:strRef>
              <c:f>'punteggi complessivi_2020'!$O$5</c:f>
              <c:strCache>
                <c:ptCount val="1"/>
                <c:pt idx="0">
                  <c:v>ANNO 2021</c:v>
                </c:pt>
              </c:strCache>
            </c:strRef>
          </c:tx>
          <c:cat>
            <c:multiLvlStrRef>
              <c:f>'punteggi complessivi_2020'!$Q$1:$U$3</c:f>
              <c:multiLvlStrCache>
                <c:ptCount val="5"/>
                <c:lvl>
                  <c:pt idx="1">
                    <c:v>non conforme</c:v>
                  </c:pt>
                  <c:pt idx="2">
                    <c:v>Migliorabile</c:v>
                  </c:pt>
                  <c:pt idx="3">
                    <c:v>Conforme</c:v>
                  </c:pt>
                  <c:pt idx="4">
                    <c:v>Eccellente</c:v>
                  </c:pt>
                </c:lvl>
                <c:lvl>
                  <c:pt idx="0">
                    <c:v>FASCE DI VALUTAZIONE</c:v>
                  </c:pt>
                </c:lvl>
              </c:multiLvlStrCache>
            </c:multiLvlStrRef>
          </c:cat>
          <c:val>
            <c:numRef>
              <c:f>'punteggi complessivi_2020'!$Q$5:$U$5</c:f>
              <c:numCache>
                <c:formatCode>General</c:formatCode>
                <c:ptCount val="5"/>
                <c:pt idx="0">
                  <c:v>0</c:v>
                </c:pt>
                <c:pt idx="1">
                  <c:v>1</c:v>
                </c:pt>
                <c:pt idx="2">
                  <c:v>4</c:v>
                </c:pt>
                <c:pt idx="3">
                  <c:v>241</c:v>
                </c:pt>
                <c:pt idx="4">
                  <c:v>42</c:v>
                </c:pt>
              </c:numCache>
            </c:numRef>
          </c:val>
        </c:ser>
        <c:ser>
          <c:idx val="2"/>
          <c:order val="2"/>
          <c:tx>
            <c:strRef>
              <c:f>'punteggi complessivi_2020'!$O$6</c:f>
              <c:strCache>
                <c:ptCount val="1"/>
                <c:pt idx="0">
                  <c:v>ANNO 2022</c:v>
                </c:pt>
              </c:strCache>
            </c:strRef>
          </c:tx>
          <c:cat>
            <c:multiLvlStrRef>
              <c:f>'punteggi complessivi_2020'!$Q$1:$U$3</c:f>
              <c:multiLvlStrCache>
                <c:ptCount val="5"/>
                <c:lvl>
                  <c:pt idx="1">
                    <c:v>non conforme</c:v>
                  </c:pt>
                  <c:pt idx="2">
                    <c:v>Migliorabile</c:v>
                  </c:pt>
                  <c:pt idx="3">
                    <c:v>Conforme</c:v>
                  </c:pt>
                  <c:pt idx="4">
                    <c:v>Eccellente</c:v>
                  </c:pt>
                </c:lvl>
                <c:lvl>
                  <c:pt idx="0">
                    <c:v>FASCE DI VALUTAZIONE</c:v>
                  </c:pt>
                </c:lvl>
              </c:multiLvlStrCache>
            </c:multiLvlStrRef>
          </c:cat>
          <c:val>
            <c:numRef>
              <c:f>'punteggi complessivi_2020'!$Q$6:$U$6</c:f>
              <c:numCache>
                <c:formatCode>General</c:formatCode>
                <c:ptCount val="5"/>
                <c:pt idx="0">
                  <c:v>0</c:v>
                </c:pt>
                <c:pt idx="1">
                  <c:v>2</c:v>
                </c:pt>
                <c:pt idx="2">
                  <c:v>6</c:v>
                </c:pt>
                <c:pt idx="3">
                  <c:v>229</c:v>
                </c:pt>
                <c:pt idx="4">
                  <c:v>47</c:v>
                </c:pt>
              </c:numCache>
            </c:numRef>
          </c:val>
        </c:ser>
        <c:axId val="153767936"/>
        <c:axId val="153769856"/>
      </c:barChart>
      <c:catAx>
        <c:axId val="153767936"/>
        <c:scaling>
          <c:orientation val="minMax"/>
        </c:scaling>
        <c:axPos val="b"/>
        <c:tickLblPos val="nextTo"/>
        <c:crossAx val="153769856"/>
        <c:crosses val="autoZero"/>
        <c:auto val="1"/>
        <c:lblAlgn val="ctr"/>
        <c:lblOffset val="100"/>
      </c:catAx>
      <c:valAx>
        <c:axId val="153769856"/>
        <c:scaling>
          <c:orientation val="minMax"/>
        </c:scaling>
        <c:axPos val="l"/>
        <c:majorGridlines/>
        <c:numFmt formatCode="General" sourceLinked="1"/>
        <c:tickLblPos val="nextTo"/>
        <c:crossAx val="153767936"/>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t-IT"/>
  <c:chart>
    <c:title/>
    <c:view3D>
      <c:rAngAx val="1"/>
    </c:view3D>
    <c:plotArea>
      <c:layout/>
      <c:bar3DChart>
        <c:barDir val="col"/>
        <c:grouping val="clustered"/>
        <c:ser>
          <c:idx val="0"/>
          <c:order val="0"/>
          <c:tx>
            <c:strRef>
              <c:f>'punteggi massimi_2022'!$D$2</c:f>
              <c:strCache>
                <c:ptCount val="1"/>
                <c:pt idx="0">
                  <c:v>PUNTEGGI MASSIMI</c:v>
                </c:pt>
              </c:strCache>
            </c:strRef>
          </c:tx>
          <c:dLbls>
            <c:dLbl>
              <c:idx val="0"/>
              <c:layout>
                <c:manualLayout>
                  <c:x val="1.9444444444444445E-2"/>
                  <c:y val="-3.4244956021718662E-2"/>
                </c:manualLayout>
              </c:layout>
              <c:showVal val="1"/>
            </c:dLbl>
            <c:dLbl>
              <c:idx val="1"/>
              <c:layout>
                <c:manualLayout>
                  <c:x val="3.3332895888014052E-2"/>
                  <c:y val="-3.4245356734988276E-2"/>
                </c:manualLayout>
              </c:layout>
              <c:showVal val="1"/>
            </c:dLbl>
            <c:dLbl>
              <c:idx val="2"/>
              <c:layout>
                <c:manualLayout>
                  <c:x val="2.7777777777778012E-2"/>
                  <c:y val="-4.8593296066999303E-2"/>
                </c:manualLayout>
              </c:layout>
              <c:showVal val="1"/>
            </c:dLbl>
            <c:dLbl>
              <c:idx val="3"/>
              <c:layout>
                <c:manualLayout>
                  <c:x val="5.5555555555555558E-3"/>
                  <c:y val="-4.1666666666666664E-2"/>
                </c:manualLayout>
              </c:layout>
              <c:showVal val="1"/>
            </c:dLbl>
            <c:dLbl>
              <c:idx val="4"/>
              <c:layout>
                <c:manualLayout>
                  <c:x val="2.7777777777778364E-3"/>
                  <c:y val="-2.3148148148148147E-2"/>
                </c:manualLayout>
              </c:layout>
              <c:showVal val="1"/>
            </c:dLbl>
            <c:showVal val="1"/>
          </c:dLbls>
          <c:cat>
            <c:strRef>
              <c:f>'punteggi massimi_2022'!$B$3:$B$5</c:f>
              <c:strCache>
                <c:ptCount val="3"/>
                <c:pt idx="0">
                  <c:v>ANNO 2020</c:v>
                </c:pt>
                <c:pt idx="1">
                  <c:v>ANNO 2021</c:v>
                </c:pt>
                <c:pt idx="2">
                  <c:v>ANNO 2022</c:v>
                </c:pt>
              </c:strCache>
            </c:strRef>
          </c:cat>
          <c:val>
            <c:numRef>
              <c:f>'punteggi massimi_2022'!$D$3:$D$5</c:f>
              <c:numCache>
                <c:formatCode>0.00%</c:formatCode>
                <c:ptCount val="3"/>
                <c:pt idx="0">
                  <c:v>0.1</c:v>
                </c:pt>
                <c:pt idx="1">
                  <c:v>0.14583333333333393</c:v>
                </c:pt>
                <c:pt idx="2">
                  <c:v>0.16549295774647951</c:v>
                </c:pt>
              </c:numCache>
            </c:numRef>
          </c:val>
        </c:ser>
        <c:dLbls>
          <c:showVal val="1"/>
        </c:dLbls>
        <c:shape val="box"/>
        <c:axId val="159459968"/>
        <c:axId val="159469952"/>
        <c:axId val="0"/>
      </c:bar3DChart>
      <c:catAx>
        <c:axId val="159459968"/>
        <c:scaling>
          <c:orientation val="minMax"/>
        </c:scaling>
        <c:axPos val="b"/>
        <c:majorTickMark val="none"/>
        <c:tickLblPos val="nextTo"/>
        <c:crossAx val="159469952"/>
        <c:crosses val="autoZero"/>
        <c:auto val="1"/>
        <c:lblAlgn val="ctr"/>
        <c:lblOffset val="100"/>
      </c:catAx>
      <c:valAx>
        <c:axId val="159469952"/>
        <c:scaling>
          <c:orientation val="minMax"/>
        </c:scaling>
        <c:delete val="1"/>
        <c:axPos val="l"/>
        <c:numFmt formatCode="0.00%" sourceLinked="1"/>
        <c:majorTickMark val="none"/>
        <c:tickLblPos val="none"/>
        <c:crossAx val="159459968"/>
        <c:crosses val="autoZero"/>
        <c:crossBetween val="between"/>
      </c:valAx>
    </c:plotArea>
    <c:legend>
      <c:legendPos val="t"/>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it-IT"/>
  <c:chart>
    <c:title/>
    <c:plotArea>
      <c:layout>
        <c:manualLayout>
          <c:layoutTarget val="inner"/>
          <c:xMode val="edge"/>
          <c:yMode val="edge"/>
          <c:x val="0.1876162898992482"/>
          <c:y val="0.18370336614689056"/>
          <c:w val="0.58062584219194491"/>
          <c:h val="0.79110562593326217"/>
        </c:manualLayout>
      </c:layout>
      <c:scatterChart>
        <c:scatterStyle val="smoothMarker"/>
        <c:ser>
          <c:idx val="0"/>
          <c:order val="0"/>
          <c:tx>
            <c:strRef>
              <c:f>'medie 2022'!$A$2</c:f>
              <c:strCache>
                <c:ptCount val="1"/>
                <c:pt idx="0">
                  <c:v>MEDIA</c:v>
                </c:pt>
              </c:strCache>
            </c:strRef>
          </c:tx>
          <c:marker>
            <c:symbol val="none"/>
          </c:marker>
          <c:dLbls>
            <c:dLbl>
              <c:idx val="0"/>
              <c:layout>
                <c:manualLayout>
                  <c:x val="-1.887599479697984E-2"/>
                  <c:y val="0.19264829148943258"/>
                </c:manualLayout>
              </c:layout>
              <c:showVal val="1"/>
              <c:showCatName val="1"/>
            </c:dLbl>
            <c:dLbl>
              <c:idx val="1"/>
              <c:layout>
                <c:manualLayout>
                  <c:x val="-0.19676488740802531"/>
                  <c:y val="-9.9216669768043483E-2"/>
                </c:manualLayout>
              </c:layout>
              <c:showVal val="1"/>
              <c:showCatName val="1"/>
            </c:dLbl>
            <c:dLbl>
              <c:idx val="2"/>
              <c:layout>
                <c:manualLayout>
                  <c:x val="-3.0967737740379406E-2"/>
                  <c:y val="5.9829079961329822E-2"/>
                </c:manualLayout>
              </c:layout>
              <c:showVal val="1"/>
              <c:showCatName val="1"/>
            </c:dLbl>
            <c:dLbl>
              <c:idx val="4"/>
              <c:layout>
                <c:manualLayout>
                  <c:x val="-6.666666666666668E-2"/>
                  <c:y val="-6.4814814814815797E-2"/>
                </c:manualLayout>
              </c:layout>
              <c:showVal val="1"/>
              <c:showCatName val="1"/>
            </c:dLbl>
            <c:txPr>
              <a:bodyPr/>
              <a:lstStyle/>
              <a:p>
                <a:pPr>
                  <a:defRPr b="1"/>
                </a:pPr>
                <a:endParaRPr lang="it-IT"/>
              </a:p>
            </c:txPr>
            <c:showVal val="1"/>
            <c:showCatName val="1"/>
          </c:dLbls>
          <c:xVal>
            <c:strRef>
              <c:f>'medie 2022'!$B$1:$D$1</c:f>
              <c:strCache>
                <c:ptCount val="3"/>
                <c:pt idx="0">
                  <c:v>ANNO 2020</c:v>
                </c:pt>
                <c:pt idx="1">
                  <c:v>ANNO 2021</c:v>
                </c:pt>
                <c:pt idx="2">
                  <c:v>ANNO 2022</c:v>
                </c:pt>
              </c:strCache>
            </c:strRef>
          </c:xVal>
          <c:yVal>
            <c:numRef>
              <c:f>'medie 2022'!$B$2:$D$2</c:f>
              <c:numCache>
                <c:formatCode>0.00</c:formatCode>
                <c:ptCount val="3"/>
                <c:pt idx="0">
                  <c:v>102.7</c:v>
                </c:pt>
                <c:pt idx="1">
                  <c:v>103.97</c:v>
                </c:pt>
                <c:pt idx="2">
                  <c:v>104.36</c:v>
                </c:pt>
              </c:numCache>
            </c:numRef>
          </c:yVal>
          <c:smooth val="1"/>
        </c:ser>
        <c:dLbls>
          <c:showVal val="1"/>
          <c:showCatName val="1"/>
        </c:dLbls>
        <c:axId val="161916416"/>
        <c:axId val="161917952"/>
      </c:scatterChart>
      <c:valAx>
        <c:axId val="161916416"/>
        <c:scaling>
          <c:orientation val="minMax"/>
        </c:scaling>
        <c:delete val="1"/>
        <c:axPos val="b"/>
        <c:majorGridlines/>
        <c:numFmt formatCode="General" sourceLinked="1"/>
        <c:tickLblPos val="none"/>
        <c:crossAx val="161917952"/>
        <c:crosses val="autoZero"/>
        <c:crossBetween val="midCat"/>
      </c:valAx>
      <c:valAx>
        <c:axId val="161917952"/>
        <c:scaling>
          <c:orientation val="minMax"/>
        </c:scaling>
        <c:axPos val="l"/>
        <c:majorGridlines/>
        <c:numFmt formatCode="0.00" sourceLinked="1"/>
        <c:tickLblPos val="nextTo"/>
        <c:crossAx val="161916416"/>
        <c:crosses val="autoZero"/>
        <c:crossBetween val="midCat"/>
      </c:valAx>
    </c:plotArea>
    <c:legend>
      <c:legendPos val="r"/>
    </c:legend>
    <c:plotVisOnly val="1"/>
    <c:dispBlanksAs val="gap"/>
  </c:chart>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it-IT"/>
  <c:chart>
    <c:title/>
    <c:plotArea>
      <c:layout>
        <c:manualLayout>
          <c:layoutTarget val="inner"/>
          <c:xMode val="edge"/>
          <c:yMode val="edge"/>
          <c:x val="0.10373571023879435"/>
          <c:y val="0.21795166229221349"/>
          <c:w val="0.464283065777504"/>
          <c:h val="0.73064778361038685"/>
        </c:manualLayout>
      </c:layout>
      <c:scatterChart>
        <c:scatterStyle val="smoothMarker"/>
        <c:ser>
          <c:idx val="0"/>
          <c:order val="0"/>
          <c:tx>
            <c:strRef>
              <c:f>'medie 2022'!$A$3</c:f>
              <c:strCache>
                <c:ptCount val="1"/>
                <c:pt idx="0">
                  <c:v>SCARTO QUADRATICO MEDIO</c:v>
                </c:pt>
              </c:strCache>
            </c:strRef>
          </c:tx>
          <c:dLbls>
            <c:dLbl>
              <c:idx val="0"/>
              <c:layout>
                <c:manualLayout>
                  <c:x val="-6.2761676597680519E-2"/>
                  <c:y val="6.4814450277049018E-2"/>
                </c:manualLayout>
              </c:layout>
              <c:showVal val="1"/>
              <c:showCatName val="1"/>
            </c:dLbl>
            <c:dLbl>
              <c:idx val="1"/>
              <c:layout>
                <c:manualLayout>
                  <c:x val="-0.1646555108444647"/>
                  <c:y val="-7.4074438611840432E-2"/>
                </c:manualLayout>
              </c:layout>
              <c:showVal val="1"/>
              <c:showCatName val="1"/>
            </c:dLbl>
            <c:dLbl>
              <c:idx val="2"/>
              <c:layout>
                <c:manualLayout>
                  <c:x val="-5.4049261722709158E-2"/>
                  <c:y val="-1.8518518518518545E-2"/>
                </c:manualLayout>
              </c:layout>
              <c:showVal val="1"/>
              <c:showCatName val="1"/>
            </c:dLbl>
            <c:dLbl>
              <c:idx val="3"/>
              <c:layout>
                <c:manualLayout>
                  <c:x val="-0.11352311342522479"/>
                  <c:y val="-0.1064814814814822"/>
                </c:manualLayout>
              </c:layout>
              <c:showVal val="1"/>
              <c:showCatName val="1"/>
            </c:dLbl>
            <c:dLbl>
              <c:idx val="4"/>
              <c:layout>
                <c:manualLayout>
                  <c:x val="-6.5348444096771832E-2"/>
                  <c:y val="-0.11574074074074127"/>
                </c:manualLayout>
              </c:layout>
              <c:showVal val="1"/>
              <c:showCatName val="1"/>
            </c:dLbl>
            <c:txPr>
              <a:bodyPr/>
              <a:lstStyle/>
              <a:p>
                <a:pPr>
                  <a:defRPr b="1"/>
                </a:pPr>
                <a:endParaRPr lang="it-IT"/>
              </a:p>
            </c:txPr>
            <c:showVal val="1"/>
            <c:showCatName val="1"/>
          </c:dLbls>
          <c:xVal>
            <c:strRef>
              <c:f>'medie 2022'!$B$1:$D$1</c:f>
              <c:strCache>
                <c:ptCount val="3"/>
                <c:pt idx="0">
                  <c:v>ANNO 2020</c:v>
                </c:pt>
                <c:pt idx="1">
                  <c:v>ANNO 2021</c:v>
                </c:pt>
                <c:pt idx="2">
                  <c:v>ANNO 2022</c:v>
                </c:pt>
              </c:strCache>
            </c:strRef>
          </c:xVal>
          <c:yVal>
            <c:numRef>
              <c:f>'medie 2022'!$B$3:$D$3</c:f>
              <c:numCache>
                <c:formatCode>0.00</c:formatCode>
                <c:ptCount val="3"/>
                <c:pt idx="0">
                  <c:v>9.59</c:v>
                </c:pt>
                <c:pt idx="1">
                  <c:v>11.350000000000026</c:v>
                </c:pt>
                <c:pt idx="2">
                  <c:v>12.27</c:v>
                </c:pt>
              </c:numCache>
            </c:numRef>
          </c:yVal>
          <c:smooth val="1"/>
        </c:ser>
        <c:dLbls>
          <c:showVal val="1"/>
          <c:showCatName val="1"/>
        </c:dLbls>
        <c:axId val="118184960"/>
        <c:axId val="118211328"/>
      </c:scatterChart>
      <c:valAx>
        <c:axId val="118184960"/>
        <c:scaling>
          <c:orientation val="minMax"/>
        </c:scaling>
        <c:delete val="1"/>
        <c:axPos val="b"/>
        <c:majorGridlines/>
        <c:tickLblPos val="none"/>
        <c:crossAx val="118211328"/>
        <c:crosses val="autoZero"/>
        <c:crossBetween val="midCat"/>
      </c:valAx>
      <c:valAx>
        <c:axId val="118211328"/>
        <c:scaling>
          <c:orientation val="minMax"/>
        </c:scaling>
        <c:axPos val="l"/>
        <c:majorGridlines/>
        <c:numFmt formatCode="0.00" sourceLinked="1"/>
        <c:tickLblPos val="nextTo"/>
        <c:crossAx val="118184960"/>
        <c:crosses val="autoZero"/>
        <c:crossBetween val="midCat"/>
      </c:valAx>
    </c:plotArea>
    <c:legend>
      <c:legendPos val="r"/>
      <c:layout>
        <c:manualLayout>
          <c:xMode val="edge"/>
          <c:yMode val="edge"/>
          <c:x val="0.53303727955406754"/>
          <c:y val="0.50187299504228322"/>
          <c:w val="0.34587292499976019"/>
          <c:h val="0.13965660542432196"/>
        </c:manualLayout>
      </c:layout>
    </c:legend>
    <c:plotVisOnly val="1"/>
    <c:dispBlanksAs val="gap"/>
  </c:chart>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externalData r:id="rId1"/>
</c:chartSpace>
</file>

<file path=word/theme/theme1.xml><?xml version="1.0" encoding="utf-8"?>
<a:theme xmlns:a="http://schemas.openxmlformats.org/drawingml/2006/main" name="Tema di Office">
  <a:themeElements>
    <a:clrScheme name="Gradazioni di grigio">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82914D-0D3D-4A3E-9125-7425BF9EE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20</Pages>
  <Words>4705</Words>
  <Characters>26822</Characters>
  <Application>Microsoft Office Word</Application>
  <DocSecurity>0</DocSecurity>
  <Lines>223</Lines>
  <Paragraphs>62</Paragraphs>
  <ScaleCrop>false</ScaleCrop>
  <HeadingPairs>
    <vt:vector size="2" baseType="variant">
      <vt:variant>
        <vt:lpstr>Titolo</vt:lpstr>
      </vt:variant>
      <vt:variant>
        <vt:i4>1</vt:i4>
      </vt:variant>
    </vt:vector>
  </HeadingPairs>
  <TitlesOfParts>
    <vt:vector size="1" baseType="lpstr">
      <vt:lpstr/>
    </vt:vector>
  </TitlesOfParts>
  <Company>Città metropolitana di Venezia</Company>
  <LinksUpToDate>false</LinksUpToDate>
  <CharactersWithSpaces>31465</CharactersWithSpaces>
  <SharedDoc>false</SharedDoc>
  <HLinks>
    <vt:vector size="12" baseType="variant">
      <vt:variant>
        <vt:i4>4587595</vt:i4>
      </vt:variant>
      <vt:variant>
        <vt:i4>3</vt:i4>
      </vt:variant>
      <vt:variant>
        <vt:i4>0</vt:i4>
      </vt:variant>
      <vt:variant>
        <vt:i4>5</vt:i4>
      </vt:variant>
      <vt:variant>
        <vt:lpwstr>http://cittametropolitana.ve.it/trasparenza/attestazione-al-31032019.html</vt:lpwstr>
      </vt:variant>
      <vt:variant>
        <vt:lpwstr/>
      </vt:variant>
      <vt:variant>
        <vt:i4>1048677</vt:i4>
      </vt:variant>
      <vt:variant>
        <vt:i4>0</vt:i4>
      </vt:variant>
      <vt:variant>
        <vt:i4>0</vt:i4>
      </vt:variant>
      <vt:variant>
        <vt:i4>5</vt:i4>
      </vt:variant>
      <vt:variant>
        <vt:lpwstr>http://www.anticorruzione.it/portal/public/classic/AttivitaAutorita/AttiDellAutorita/_Atto?id=5d4edee30a7780424b072b3c991e9247</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paola.giacomello</dc:creator>
  <cp:lastModifiedBy>Utente Windows</cp:lastModifiedBy>
  <cp:revision>6</cp:revision>
  <cp:lastPrinted>2023-05-25T09:48:00Z</cp:lastPrinted>
  <dcterms:created xsi:type="dcterms:W3CDTF">2023-05-30T13:09:00Z</dcterms:created>
  <dcterms:modified xsi:type="dcterms:W3CDTF">2023-05-30T15:02:00Z</dcterms:modified>
</cp:coreProperties>
</file>